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45EB6">
      <w:pPr>
        <w:widowControl/>
        <w:shd w:val="clear" w:color="auto" w:fill="FFFFFF"/>
        <w:spacing w:line="315" w:lineRule="atLeas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加 工 承 揽 合 同</w:t>
      </w:r>
    </w:p>
    <w:p w14:paraId="455BB723">
      <w:pPr>
        <w:widowControl/>
        <w:shd w:val="clear" w:color="auto" w:fill="FFFFFF"/>
        <w:spacing w:line="440" w:lineRule="atLeas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承揽方：{{</w:t>
      </w:r>
      <w:r>
        <w:rPr>
          <w:rFonts w:hint="eastAsia" w:ascii="仿宋_GB2312" w:hAnsi="仿宋_GB2312" w:eastAsia="仿宋_GB2312" w:cs="仿宋_GB2312"/>
          <w:kern w:val="0"/>
          <w:sz w:val="28"/>
          <w:szCs w:val="28"/>
          <w:lang w:val="en-US" w:eastAsia="zh-CN"/>
        </w:rPr>
        <w:t>partyB</w:t>
      </w:r>
      <w:r>
        <w:rPr>
          <w:rFonts w:hint="eastAsia" w:ascii="仿宋_GB2312" w:hAnsi="仿宋_GB2312" w:eastAsia="仿宋_GB2312" w:cs="仿宋_GB2312"/>
          <w:kern w:val="0"/>
          <w:sz w:val="28"/>
          <w:szCs w:val="28"/>
        </w:rPr>
        <w:t xml:space="preserve">}}                                       </w:t>
      </w:r>
    </w:p>
    <w:p w14:paraId="60D4C68B">
      <w:pPr>
        <w:widowControl/>
        <w:shd w:val="clear" w:color="auto" w:fill="FFFFFF"/>
        <w:spacing w:line="440" w:lineRule="atLeas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定作方：{{</w:t>
      </w:r>
      <w:r>
        <w:rPr>
          <w:rFonts w:hint="eastAsia" w:ascii="仿宋_GB2312" w:hAnsi="仿宋_GB2312" w:eastAsia="仿宋_GB2312" w:cs="仿宋_GB2312"/>
          <w:kern w:val="0"/>
          <w:sz w:val="28"/>
          <w:szCs w:val="28"/>
          <w:lang w:val="en-US" w:eastAsia="zh-CN"/>
        </w:rPr>
        <w:t>partyA</w:t>
      </w:r>
      <w:r>
        <w:rPr>
          <w:rFonts w:hint="eastAsia" w:ascii="仿宋_GB2312" w:hAnsi="仿宋_GB2312" w:eastAsia="仿宋_GB2312" w:cs="仿宋_GB2312"/>
          <w:kern w:val="0"/>
          <w:sz w:val="28"/>
          <w:szCs w:val="28"/>
        </w:rPr>
        <w:t>}}</w:t>
      </w:r>
    </w:p>
    <w:p w14:paraId="509F5742">
      <w:pPr>
        <w:widowControl/>
        <w:shd w:val="clear" w:color="auto" w:fill="FFFFFF"/>
        <w:spacing w:line="440" w:lineRule="atLeas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合同编号：{{</w:t>
      </w:r>
      <w:r>
        <w:rPr>
          <w:rFonts w:hint="eastAsia" w:ascii="仿宋_GB2312" w:hAnsi="仿宋_GB2312" w:eastAsia="仿宋_GB2312" w:cs="仿宋_GB2312"/>
          <w:kern w:val="0"/>
          <w:sz w:val="28"/>
          <w:szCs w:val="28"/>
          <w:lang w:val="en-US" w:eastAsia="zh-CN"/>
        </w:rPr>
        <w:t>contractNo</w:t>
      </w:r>
      <w:r>
        <w:rPr>
          <w:rFonts w:hint="eastAsia" w:ascii="仿宋_GB2312" w:hAnsi="仿宋_GB2312" w:eastAsia="仿宋_GB2312" w:cs="仿宋_GB2312"/>
          <w:kern w:val="0"/>
          <w:sz w:val="28"/>
          <w:szCs w:val="28"/>
        </w:rPr>
        <w:t>}}</w:t>
      </w:r>
    </w:p>
    <w:p w14:paraId="75036001">
      <w:pPr>
        <w:widowControl/>
        <w:shd w:val="clear" w:color="auto" w:fill="FFFFFF"/>
        <w:spacing w:line="440" w:lineRule="atLeast"/>
        <w:ind w:left="7560" w:hanging="7560"/>
        <w:rPr>
          <w:rFonts w:hint="eastAsia"/>
        </w:rPr>
      </w:pPr>
      <w:r>
        <w:rPr>
          <w:rFonts w:hint="eastAsia" w:ascii="仿宋_GB2312" w:hAnsi="仿宋_GB2312" w:eastAsia="仿宋_GB2312" w:cs="仿宋_GB2312"/>
          <w:kern w:val="0"/>
          <w:sz w:val="28"/>
          <w:szCs w:val="28"/>
        </w:rPr>
        <w:t>签订地点：{{signPlace}}</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  签订时间：{{signDa</w:t>
      </w:r>
      <w:bookmarkStart w:id="10" w:name="_GoBack"/>
      <w:bookmarkEnd w:id="10"/>
      <w:r>
        <w:rPr>
          <w:rFonts w:hint="eastAsia" w:ascii="仿宋_GB2312" w:hAnsi="仿宋_GB2312" w:eastAsia="仿宋_GB2312" w:cs="仿宋_GB2312"/>
          <w:kern w:val="0"/>
          <w:sz w:val="28"/>
          <w:szCs w:val="28"/>
        </w:rPr>
        <w:t xml:space="preserve">te}} </w:t>
      </w:r>
    </w:p>
    <w:p w14:paraId="5D9563AD">
      <w:pPr>
        <w:widowControl/>
        <w:shd w:val="clear" w:color="auto" w:fill="FFFFFF"/>
        <w:spacing w:line="440" w:lineRule="atLeas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一、标的、数量及价款   </w:t>
      </w:r>
    </w:p>
    <w:p w14:paraId="0E29A5D9">
      <w:pPr>
        <w:widowControl/>
        <w:shd w:val="clear" w:color="auto" w:fill="FFFFFF"/>
        <w:spacing w:line="440" w:lineRule="atLeas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1.定做物及价款：  </w:t>
      </w:r>
    </w:p>
    <w:tbl>
      <w:tblPr>
        <w:tblStyle w:val="8"/>
        <w:tblpPr w:leftFromText="180" w:rightFromText="180" w:vertAnchor="text" w:tblpXSpec="center" w:tblpY="1"/>
        <w:tblOverlap w:val="never"/>
        <w:tblW w:w="11056" w:type="dxa"/>
        <w:jc w:val="center"/>
        <w:shd w:val="clear" w:color="auto" w:fill="FFFFFF"/>
        <w:tblLayout w:type="fixed"/>
        <w:tblCellMar>
          <w:top w:w="0" w:type="dxa"/>
          <w:left w:w="0" w:type="dxa"/>
          <w:bottom w:w="0" w:type="dxa"/>
          <w:right w:w="0" w:type="dxa"/>
        </w:tblCellMar>
      </w:tblPr>
      <w:tblGrid>
        <w:gridCol w:w="633"/>
        <w:gridCol w:w="1986"/>
        <w:gridCol w:w="2479"/>
        <w:gridCol w:w="487"/>
        <w:gridCol w:w="600"/>
        <w:gridCol w:w="956"/>
        <w:gridCol w:w="1234"/>
        <w:gridCol w:w="1031"/>
        <w:gridCol w:w="1650"/>
      </w:tblGrid>
      <w:tr w14:paraId="6B7BF0D4">
        <w:tblPrEx>
          <w:shd w:val="clear" w:color="auto" w:fill="FFFFFF"/>
          <w:tblCellMar>
            <w:top w:w="0" w:type="dxa"/>
            <w:left w:w="0" w:type="dxa"/>
            <w:bottom w:w="0" w:type="dxa"/>
            <w:right w:w="0" w:type="dxa"/>
          </w:tblCellMar>
        </w:tblPrEx>
        <w:trPr>
          <w:jc w:val="center"/>
        </w:trPr>
        <w:tc>
          <w:tcPr>
            <w:tcW w:w="633" w:type="dxa"/>
            <w:vMerge w:val="restart"/>
            <w:tcBorders>
              <w:top w:val="single" w:color="000000" w:sz="8" w:space="0"/>
              <w:left w:val="single" w:color="000000" w:sz="8" w:space="0"/>
              <w:right w:val="single" w:color="000000" w:sz="8" w:space="0"/>
            </w:tcBorders>
            <w:shd w:val="clear" w:color="auto" w:fill="FFFFFF"/>
            <w:noWrap w:val="0"/>
            <w:vAlign w:val="center"/>
          </w:tcPr>
          <w:p w14:paraId="01F7D86D">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序号</w:t>
            </w:r>
          </w:p>
          <w:p w14:paraId="75C49055">
            <w:pPr>
              <w:pStyle w:val="2"/>
              <w:rPr>
                <w:rFonts w:hint="eastAsia"/>
              </w:rPr>
            </w:pPr>
          </w:p>
        </w:tc>
        <w:tc>
          <w:tcPr>
            <w:tcW w:w="1986"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48C014B3">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产品名称</w:t>
            </w:r>
          </w:p>
        </w:tc>
        <w:tc>
          <w:tcPr>
            <w:tcW w:w="2479"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7E70EAB3">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规格型号</w:t>
            </w:r>
          </w:p>
        </w:tc>
        <w:tc>
          <w:tcPr>
            <w:tcW w:w="487"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783186D7">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单位</w:t>
            </w:r>
          </w:p>
        </w:tc>
        <w:tc>
          <w:tcPr>
            <w:tcW w:w="600"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67C23FE7">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2190"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A30015C">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图纸重量kg</w:t>
            </w:r>
          </w:p>
        </w:tc>
        <w:tc>
          <w:tcPr>
            <w:tcW w:w="1031"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20C0A97F">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单价 元/kg</w:t>
            </w:r>
          </w:p>
        </w:tc>
        <w:tc>
          <w:tcPr>
            <w:tcW w:w="1650"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7771C5C7">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金额      元</w:t>
            </w:r>
          </w:p>
        </w:tc>
      </w:tr>
      <w:tr w14:paraId="2BEFA8F7">
        <w:tblPrEx>
          <w:shd w:val="clear" w:color="auto" w:fill="FFFFFF"/>
          <w:tblCellMar>
            <w:top w:w="0" w:type="dxa"/>
            <w:left w:w="0" w:type="dxa"/>
            <w:bottom w:w="0" w:type="dxa"/>
            <w:right w:w="0" w:type="dxa"/>
          </w:tblCellMar>
        </w:tblPrEx>
        <w:trPr>
          <w:jc w:val="center"/>
        </w:trPr>
        <w:tc>
          <w:tcPr>
            <w:tcW w:w="633" w:type="dxa"/>
            <w:vMerge w:val="continue"/>
            <w:tcBorders>
              <w:left w:val="single" w:color="000000" w:sz="8" w:space="0"/>
              <w:bottom w:val="nil"/>
              <w:right w:val="single" w:color="000000" w:sz="8" w:space="0"/>
            </w:tcBorders>
            <w:shd w:val="clear" w:color="auto" w:fill="FFFFFF"/>
            <w:noWrap w:val="0"/>
            <w:vAlign w:val="top"/>
          </w:tcPr>
          <w:p w14:paraId="1E31EEC0">
            <w:pPr>
              <w:widowControl/>
              <w:jc w:val="center"/>
              <w:rPr>
                <w:rFonts w:hint="eastAsia" w:ascii="仿宋_GB2312" w:hAnsi="仿宋_GB2312" w:eastAsia="仿宋_GB2312" w:cs="仿宋_GB2312"/>
                <w:kern w:val="0"/>
                <w:sz w:val="24"/>
              </w:rPr>
            </w:pPr>
          </w:p>
        </w:tc>
        <w:tc>
          <w:tcPr>
            <w:tcW w:w="1986"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02CCAE47">
            <w:pPr>
              <w:widowControl/>
              <w:jc w:val="center"/>
              <w:rPr>
                <w:rFonts w:hint="eastAsia" w:ascii="仿宋_GB2312" w:hAnsi="仿宋_GB2312" w:eastAsia="仿宋_GB2312" w:cs="仿宋_GB2312"/>
                <w:kern w:val="0"/>
                <w:sz w:val="24"/>
              </w:rPr>
            </w:pPr>
          </w:p>
        </w:tc>
        <w:tc>
          <w:tcPr>
            <w:tcW w:w="2479"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2CCF12E7">
            <w:pPr>
              <w:widowControl/>
              <w:jc w:val="center"/>
              <w:rPr>
                <w:rFonts w:hint="eastAsia" w:ascii="仿宋_GB2312" w:hAnsi="仿宋_GB2312" w:eastAsia="仿宋_GB2312" w:cs="仿宋_GB2312"/>
                <w:kern w:val="0"/>
                <w:sz w:val="24"/>
              </w:rPr>
            </w:pPr>
          </w:p>
        </w:tc>
        <w:tc>
          <w:tcPr>
            <w:tcW w:w="487"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267A2478">
            <w:pPr>
              <w:widowControl/>
              <w:jc w:val="center"/>
              <w:rPr>
                <w:rFonts w:hint="eastAsia" w:ascii="仿宋_GB2312" w:hAnsi="仿宋_GB2312" w:eastAsia="仿宋_GB2312" w:cs="仿宋_GB2312"/>
                <w:kern w:val="0"/>
                <w:sz w:val="24"/>
              </w:rPr>
            </w:pPr>
          </w:p>
        </w:tc>
        <w:tc>
          <w:tcPr>
            <w:tcW w:w="600"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36EF9E2F">
            <w:pPr>
              <w:widowControl/>
              <w:jc w:val="center"/>
              <w:rPr>
                <w:rFonts w:hint="eastAsia" w:ascii="仿宋_GB2312" w:hAnsi="仿宋_GB2312" w:eastAsia="仿宋_GB2312" w:cs="仿宋_GB2312"/>
                <w:kern w:val="0"/>
                <w:sz w:val="24"/>
              </w:rPr>
            </w:pPr>
          </w:p>
        </w:tc>
        <w:tc>
          <w:tcPr>
            <w:tcW w:w="956" w:type="dxa"/>
            <w:tcBorders>
              <w:top w:val="single" w:color="000000" w:sz="8" w:space="0"/>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1CFF9F37">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单重</w:t>
            </w:r>
          </w:p>
        </w:tc>
        <w:tc>
          <w:tcPr>
            <w:tcW w:w="1234" w:type="dxa"/>
            <w:tcBorders>
              <w:top w:val="single" w:color="000000" w:sz="8" w:space="0"/>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43BC6AEB">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总重</w:t>
            </w:r>
          </w:p>
        </w:tc>
        <w:tc>
          <w:tcPr>
            <w:tcW w:w="1031"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39C7DBB8">
            <w:pPr>
              <w:widowControl/>
              <w:jc w:val="center"/>
              <w:rPr>
                <w:rFonts w:hint="eastAsia" w:ascii="仿宋_GB2312" w:hAnsi="仿宋_GB2312" w:eastAsia="仿宋_GB2312" w:cs="仿宋_GB2312"/>
                <w:kern w:val="0"/>
                <w:sz w:val="24"/>
              </w:rPr>
            </w:pPr>
          </w:p>
        </w:tc>
        <w:tc>
          <w:tcPr>
            <w:tcW w:w="1650"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5B7FC5CA">
            <w:pPr>
              <w:widowControl/>
              <w:jc w:val="center"/>
              <w:rPr>
                <w:rFonts w:hint="eastAsia" w:ascii="仿宋_GB2312" w:hAnsi="仿宋_GB2312" w:eastAsia="仿宋_GB2312" w:cs="仿宋_GB2312"/>
                <w:kern w:val="0"/>
                <w:sz w:val="24"/>
              </w:rPr>
            </w:pPr>
          </w:p>
        </w:tc>
      </w:tr>
      <w:tr w14:paraId="786E59D1">
        <w:tblPrEx>
          <w:tblCellMar>
            <w:top w:w="0" w:type="dxa"/>
            <w:left w:w="0" w:type="dxa"/>
            <w:bottom w:w="0" w:type="dxa"/>
            <w:right w:w="0" w:type="dxa"/>
          </w:tblCellMar>
        </w:tblPrEx>
        <w:trPr>
          <w:trHeight w:val="23" w:hRule="exact"/>
          <w:jc w:val="center"/>
        </w:trPr>
        <w:tc>
          <w:tcPr>
            <w:tcW w:w="633" w:type="dxa"/>
            <w:tcBorders>
              <w:top w:val="nil"/>
              <w:left w:val="nil"/>
              <w:bottom w:val="single" w:color="000000" w:sz="8" w:space="0"/>
              <w:right w:val="nil"/>
            </w:tcBorders>
            <w:shd w:val="clear" w:color="auto" w:fill="FFFFFF"/>
            <w:noWrap w:val="0"/>
            <w:vAlign w:val="center"/>
          </w:tcPr>
          <w:p w14:paraId="3CF5E8FF">
            <w:pPr>
              <w:widowControl/>
              <w:jc w:val="both"/>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{{items}}</w:t>
            </w:r>
          </w:p>
        </w:tc>
        <w:tc>
          <w:tcPr>
            <w:tcW w:w="1986"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6274F244">
            <w:pPr>
              <w:widowControl/>
              <w:jc w:val="center"/>
              <w:textAlignment w:val="center"/>
              <w:rPr>
                <w:rFonts w:hint="eastAsia" w:ascii="宋体" w:hAnsi="宋体" w:eastAsia="宋体" w:cs="宋体"/>
                <w:kern w:val="0"/>
                <w:szCs w:val="21"/>
                <w:lang w:val="en-US" w:eastAsia="zh-CN" w:bidi="ar"/>
              </w:rPr>
            </w:pPr>
          </w:p>
        </w:tc>
        <w:tc>
          <w:tcPr>
            <w:tcW w:w="2479"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50DA58A8">
            <w:pPr>
              <w:widowControl/>
              <w:jc w:val="center"/>
              <w:textAlignment w:val="center"/>
              <w:rPr>
                <w:rFonts w:hint="eastAsia" w:ascii="宋体" w:hAnsi="宋体" w:cs="宋体"/>
                <w:kern w:val="0"/>
                <w:szCs w:val="21"/>
                <w:lang w:bidi="ar"/>
              </w:rPr>
            </w:pPr>
          </w:p>
        </w:tc>
        <w:tc>
          <w:tcPr>
            <w:tcW w:w="487"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6E9BE605">
            <w:pPr>
              <w:widowControl/>
              <w:jc w:val="center"/>
              <w:textAlignment w:val="center"/>
              <w:rPr>
                <w:rFonts w:hint="eastAsia" w:ascii="宋体" w:hAnsi="宋体" w:cs="宋体"/>
                <w:kern w:val="0"/>
                <w:szCs w:val="21"/>
                <w:lang w:bidi="ar"/>
              </w:rPr>
            </w:pPr>
          </w:p>
        </w:tc>
        <w:tc>
          <w:tcPr>
            <w:tcW w:w="600"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6A23E43A">
            <w:pPr>
              <w:widowControl/>
              <w:jc w:val="center"/>
              <w:textAlignment w:val="center"/>
              <w:rPr>
                <w:rFonts w:hint="default" w:ascii="宋体" w:hAnsi="宋体" w:eastAsia="宋体" w:cs="宋体"/>
                <w:kern w:val="0"/>
                <w:szCs w:val="21"/>
                <w:lang w:val="en-US" w:eastAsia="zh-CN" w:bidi="ar"/>
              </w:rPr>
            </w:pPr>
          </w:p>
        </w:tc>
        <w:tc>
          <w:tcPr>
            <w:tcW w:w="956"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4134B36F">
            <w:pPr>
              <w:widowControl/>
              <w:jc w:val="center"/>
              <w:textAlignment w:val="center"/>
              <w:rPr>
                <w:rFonts w:hint="eastAsia" w:ascii="宋体" w:hAnsi="宋体" w:cs="宋体"/>
                <w:kern w:val="0"/>
                <w:szCs w:val="21"/>
              </w:rPr>
            </w:pPr>
          </w:p>
        </w:tc>
        <w:tc>
          <w:tcPr>
            <w:tcW w:w="1234"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08E6428E">
            <w:pPr>
              <w:widowControl/>
              <w:jc w:val="center"/>
              <w:textAlignment w:val="center"/>
              <w:rPr>
                <w:rFonts w:hint="eastAsia" w:ascii="宋体" w:hAnsi="宋体" w:cs="宋体"/>
                <w:kern w:val="0"/>
                <w:szCs w:val="21"/>
              </w:rPr>
            </w:pPr>
          </w:p>
        </w:tc>
        <w:tc>
          <w:tcPr>
            <w:tcW w:w="1031"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6102B989">
            <w:pPr>
              <w:widowControl/>
              <w:jc w:val="center"/>
              <w:textAlignment w:val="center"/>
              <w:rPr>
                <w:rFonts w:hint="default" w:ascii="宋体" w:hAnsi="宋体" w:eastAsia="宋体" w:cs="宋体"/>
                <w:kern w:val="0"/>
                <w:szCs w:val="21"/>
                <w:lang w:val="en-US" w:eastAsia="zh-CN"/>
              </w:rPr>
            </w:pPr>
          </w:p>
        </w:tc>
        <w:tc>
          <w:tcPr>
            <w:tcW w:w="1650"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7484B1CF">
            <w:pPr>
              <w:widowControl/>
              <w:jc w:val="center"/>
              <w:textAlignment w:val="center"/>
              <w:rPr>
                <w:rFonts w:hint="eastAsia" w:ascii="宋体" w:hAnsi="宋体" w:cs="宋体"/>
                <w:color w:val="000000"/>
                <w:szCs w:val="21"/>
              </w:rPr>
            </w:pPr>
          </w:p>
        </w:tc>
      </w:tr>
      <w:tr w14:paraId="379664EB">
        <w:tblPrEx>
          <w:tblCellMar>
            <w:top w:w="0" w:type="dxa"/>
            <w:left w:w="0" w:type="dxa"/>
            <w:bottom w:w="0" w:type="dxa"/>
            <w:right w:w="0" w:type="dxa"/>
          </w:tblCellMar>
        </w:tblPrEx>
        <w:trPr>
          <w:jc w:val="center"/>
        </w:trPr>
        <w:tc>
          <w:tcPr>
            <w:tcW w:w="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D92D50">
            <w:pPr>
              <w:widowControl/>
              <w:jc w:val="both"/>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[no]</w:t>
            </w:r>
          </w:p>
        </w:tc>
        <w:tc>
          <w:tcPr>
            <w:tcW w:w="198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5B16D5C">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[materialName]</w:t>
            </w:r>
          </w:p>
        </w:tc>
        <w:tc>
          <w:tcPr>
            <w:tcW w:w="247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B0DFC19">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[guige]</w:t>
            </w:r>
          </w:p>
        </w:tc>
        <w:tc>
          <w:tcPr>
            <w:tcW w:w="48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8099E7A">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[unit]</w:t>
            </w:r>
          </w:p>
        </w:tc>
        <w:tc>
          <w:tcPr>
            <w:tcW w:w="60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A778E38">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[quantity]</w:t>
            </w:r>
          </w:p>
        </w:tc>
        <w:tc>
          <w:tcPr>
            <w:tcW w:w="95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25216F2">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[danzhong]</w:t>
            </w:r>
          </w:p>
        </w:tc>
        <w:tc>
          <w:tcPr>
            <w:tcW w:w="1234"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E94F712">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[zongzhong]</w:t>
            </w:r>
          </w:p>
        </w:tc>
        <w:tc>
          <w:tcPr>
            <w:tcW w:w="1031"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7D1DD6C">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[unitPrice]</w:t>
            </w:r>
          </w:p>
        </w:tc>
        <w:tc>
          <w:tcPr>
            <w:tcW w:w="165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46379BB6">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[price]</w:t>
            </w:r>
          </w:p>
        </w:tc>
      </w:tr>
      <w:tr w14:paraId="729607DD">
        <w:tblPrEx>
          <w:tblCellMar>
            <w:top w:w="0" w:type="dxa"/>
            <w:left w:w="0" w:type="dxa"/>
            <w:bottom w:w="0" w:type="dxa"/>
            <w:right w:w="0" w:type="dxa"/>
          </w:tblCellMar>
        </w:tblPrEx>
        <w:trPr>
          <w:jc w:val="center"/>
        </w:trPr>
        <w:tc>
          <w:tcPr>
            <w:tcW w:w="2619"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3673B0">
            <w:pPr>
              <w:jc w:val="center"/>
              <w:rPr>
                <w:rFonts w:hint="eastAsia" w:ascii="宋体" w:hAnsi="宋体" w:cs="宋体"/>
                <w:szCs w:val="21"/>
              </w:rPr>
            </w:pPr>
            <w:r>
              <w:rPr>
                <w:rFonts w:hint="eastAsia" w:ascii="宋体" w:hAnsi="宋体" w:cs="宋体"/>
                <w:szCs w:val="21"/>
              </w:rPr>
              <w:t>合计</w:t>
            </w:r>
          </w:p>
        </w:tc>
        <w:tc>
          <w:tcPr>
            <w:tcW w:w="247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B152E97">
            <w:pPr>
              <w:jc w:val="center"/>
              <w:rPr>
                <w:rFonts w:hint="eastAsia" w:ascii="宋体" w:hAnsi="宋体" w:cs="宋体"/>
                <w:szCs w:val="21"/>
              </w:rPr>
            </w:pPr>
          </w:p>
        </w:tc>
        <w:tc>
          <w:tcPr>
            <w:tcW w:w="48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F82E407">
            <w:pPr>
              <w:jc w:val="center"/>
              <w:rPr>
                <w:rFonts w:hint="eastAsia" w:ascii="宋体" w:hAnsi="宋体" w:cs="宋体"/>
                <w:szCs w:val="21"/>
              </w:rPr>
            </w:pPr>
          </w:p>
        </w:tc>
        <w:tc>
          <w:tcPr>
            <w:tcW w:w="60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BDC5567">
            <w:pPr>
              <w:jc w:val="center"/>
              <w:rPr>
                <w:rFonts w:hint="eastAsia" w:ascii="宋体" w:hAnsi="宋体" w:cs="宋体"/>
                <w:szCs w:val="21"/>
              </w:rPr>
            </w:pPr>
          </w:p>
        </w:tc>
        <w:tc>
          <w:tcPr>
            <w:tcW w:w="95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8026365">
            <w:pPr>
              <w:spacing w:line="0" w:lineRule="atLeast"/>
              <w:jc w:val="center"/>
              <w:rPr>
                <w:rFonts w:hint="eastAsia" w:ascii="宋体" w:hAnsi="宋体" w:cs="宋体"/>
                <w:kern w:val="0"/>
                <w:szCs w:val="21"/>
              </w:rPr>
            </w:pPr>
          </w:p>
        </w:tc>
        <w:tc>
          <w:tcPr>
            <w:tcW w:w="1234"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48E59449">
            <w:pPr>
              <w:widowControl/>
              <w:jc w:val="center"/>
              <w:textAlignment w:val="center"/>
              <w:rPr>
                <w:rFonts w:ascii="宋体" w:hAnsi="宋体" w:cs="宋体"/>
                <w:color w:val="000000"/>
                <w:szCs w:val="21"/>
              </w:rPr>
            </w:pPr>
          </w:p>
        </w:tc>
        <w:tc>
          <w:tcPr>
            <w:tcW w:w="1031"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CCAF04F">
            <w:pPr>
              <w:jc w:val="center"/>
              <w:rPr>
                <w:rFonts w:hint="eastAsia" w:ascii="宋体" w:hAnsi="宋体" w:cs="宋体"/>
                <w:kern w:val="0"/>
                <w:szCs w:val="21"/>
              </w:rPr>
            </w:pPr>
          </w:p>
        </w:tc>
        <w:tc>
          <w:tcPr>
            <w:tcW w:w="165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66A4A8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{{total}}</w:t>
            </w:r>
          </w:p>
        </w:tc>
      </w:tr>
      <w:tr w14:paraId="13898F89">
        <w:tblPrEx>
          <w:shd w:val="clear" w:color="auto" w:fill="FFFFFF"/>
          <w:tblCellMar>
            <w:top w:w="0" w:type="dxa"/>
            <w:left w:w="0" w:type="dxa"/>
            <w:bottom w:w="0" w:type="dxa"/>
            <w:right w:w="0" w:type="dxa"/>
          </w:tblCellMar>
        </w:tblPrEx>
        <w:trPr>
          <w:jc w:val="center"/>
        </w:trPr>
        <w:tc>
          <w:tcPr>
            <w:tcW w:w="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FC53405">
            <w:pPr>
              <w:widowControl/>
              <w:jc w:val="center"/>
              <w:rPr>
                <w:rFonts w:hint="eastAsia" w:ascii="仿宋_GB2312" w:hAnsi="仿宋_GB2312" w:eastAsia="仿宋_GB2312" w:cs="仿宋_GB2312"/>
                <w:kern w:val="0"/>
                <w:sz w:val="24"/>
              </w:rPr>
            </w:pPr>
          </w:p>
        </w:tc>
        <w:tc>
          <w:tcPr>
            <w:tcW w:w="198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0C1246A">
            <w:pPr>
              <w:widowControl/>
              <w:jc w:val="center"/>
              <w:textAlignment w:val="center"/>
              <w:rPr>
                <w:rFonts w:hint="eastAsia" w:ascii="宋体" w:hAnsi="宋体" w:cs="宋体"/>
                <w:kern w:val="0"/>
                <w:szCs w:val="21"/>
                <w:lang w:bidi="ar"/>
              </w:rPr>
            </w:pPr>
            <w:r>
              <w:rPr>
                <w:rFonts w:hint="eastAsia" w:ascii="宋体" w:hAnsi="宋体" w:cs="宋体"/>
                <w:szCs w:val="21"/>
              </w:rPr>
              <w:t>合同暂定总额：</w:t>
            </w:r>
          </w:p>
        </w:tc>
        <w:tc>
          <w:tcPr>
            <w:tcW w:w="8437" w:type="dxa"/>
            <w:gridSpan w:val="7"/>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5BA7115">
            <w:pPr>
              <w:widowControl/>
              <w:jc w:val="center"/>
              <w:rPr>
                <w:rFonts w:hint="eastAsia" w:ascii="宋体" w:hAnsi="宋体" w:cs="宋体"/>
                <w:kern w:val="0"/>
                <w:szCs w:val="21"/>
              </w:rPr>
            </w:pPr>
            <w:r>
              <w:rPr>
                <w:rFonts w:hint="eastAsia" w:ascii="宋体" w:hAnsi="宋体" w:cs="宋体"/>
                <w:szCs w:val="21"/>
              </w:rPr>
              <w:t>（人民币大写：</w:t>
            </w:r>
            <w:r>
              <w:rPr>
                <w:rFonts w:hint="eastAsia" w:ascii="宋体" w:hAnsi="宋体" w:cs="宋体"/>
                <w:szCs w:val="21"/>
                <w:lang w:val="en-US" w:eastAsia="zh-CN"/>
              </w:rPr>
              <w:t>{{amountWords}}</w:t>
            </w:r>
            <w:r>
              <w:rPr>
                <w:rFonts w:hint="eastAsia" w:ascii="宋体" w:hAnsi="宋体" w:cs="宋体"/>
                <w:szCs w:val="21"/>
              </w:rPr>
              <w:t>）</w:t>
            </w:r>
            <w:r>
              <w:rPr>
                <w:rFonts w:hint="eastAsia" w:ascii="宋体" w:hAnsi="宋体" w:cs="宋体"/>
                <w:color w:val="000000"/>
                <w:kern w:val="0"/>
                <w:szCs w:val="21"/>
                <w:lang w:bidi="ar"/>
              </w:rPr>
              <w:t>（含税13%，含运费）</w:t>
            </w:r>
          </w:p>
        </w:tc>
      </w:tr>
    </w:tbl>
    <w:p w14:paraId="4F151AA3">
      <w:pPr>
        <w:pStyle w:val="2"/>
        <w:rPr>
          <w:rFonts w:hint="eastAsia"/>
        </w:rPr>
      </w:pPr>
    </w:p>
    <w:p w14:paraId="54FCDC97">
      <w:pPr>
        <w:widowControl/>
        <w:numPr>
          <w:ilvl w:val="0"/>
          <w:numId w:val="1"/>
        </w:numPr>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结算重量及误差：</w:t>
      </w:r>
    </w:p>
    <w:p w14:paraId="5D832E69">
      <w:pPr>
        <w:widowControl/>
        <w:numPr>
          <w:ilvl w:val="0"/>
          <w:numId w:val="0"/>
        </w:numPr>
        <w:shd w:val="clear" w:color="auto" w:fill="FFFFFF"/>
        <w:spacing w:line="560" w:lineRule="exact"/>
        <w:ind w:firstLine="420" w:firstLineChars="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定作方对已到交货地点并经验收合格的定做物每个规格随机抽取  件称重，以称重平均重量作为结算单重；平均单重与图纸重量误差不超过2%，超出部分不予结算。</w:t>
      </w:r>
    </w:p>
    <w:p w14:paraId="535CE437">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_GB2312" w:eastAsia="仿宋_GB2312" w:cs="仿宋_GB2312"/>
          <w:kern w:val="0"/>
          <w:sz w:val="28"/>
          <w:szCs w:val="28"/>
        </w:rPr>
        <w:t>进行抽样称重时，若承揽方</w:t>
      </w:r>
      <w:r>
        <w:rPr>
          <w:rFonts w:hint="eastAsia" w:ascii="仿宋_GB2312" w:hAnsi="仿宋" w:eastAsia="仿宋_GB2312"/>
          <w:sz w:val="28"/>
          <w:szCs w:val="28"/>
        </w:rPr>
        <w:t>未派员参加或未按时参加，定作方的单方称重结果有效，且承揽方应采信该称重结果；承揽方不得以未派员参加或未按时参加为由进行抗辩。</w:t>
      </w:r>
    </w:p>
    <w:p w14:paraId="0654E06A">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3.上述标的物单价为定作方应付承揽方的涉及标的物制作的原材料、加工费、运费等所有款项（并为到岸含13%增值税价）。</w:t>
      </w:r>
    </w:p>
    <w:p w14:paraId="661AFDBD">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二、加工产品质量要求及技术标准</w:t>
      </w:r>
    </w:p>
    <w:p w14:paraId="29105B48">
      <w:pPr>
        <w:widowControl/>
        <w:shd w:val="clear" w:color="auto" w:fill="FFFFFF"/>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1.质量要求：</w:t>
      </w:r>
      <w:r>
        <w:rPr>
          <w:rFonts w:hint="eastAsia" w:ascii="仿宋" w:hAnsi="仿宋" w:eastAsia="仿宋" w:cs="仿宋"/>
          <w:sz w:val="28"/>
          <w:szCs w:val="28"/>
          <w:u w:val="single" w:color="FFFFFF"/>
        </w:rPr>
        <w:t>按定作方提供的图纸要求制作。</w:t>
      </w:r>
    </w:p>
    <w:p w14:paraId="40A3139A">
      <w:pPr>
        <w:widowControl/>
        <w:shd w:val="clear" w:color="auto" w:fill="FFFFFF"/>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2.技术标准：</w:t>
      </w:r>
      <w:r>
        <w:rPr>
          <w:rFonts w:hint="eastAsia" w:ascii="仿宋" w:hAnsi="仿宋" w:eastAsia="仿宋" w:cs="仿宋"/>
          <w:sz w:val="28"/>
          <w:szCs w:val="28"/>
          <w:u w:val="single" w:color="FFFFFF"/>
        </w:rPr>
        <w:t>图纸。</w:t>
      </w:r>
    </w:p>
    <w:p w14:paraId="7EC54D52">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三、承揽方式</w:t>
      </w:r>
    </w:p>
    <w:p w14:paraId="1CA63493">
      <w:pPr>
        <w:widowControl/>
        <w:shd w:val="clear" w:color="auto" w:fill="FFFFFF"/>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1.承揽方应当自行完成本合同定作物加工制作，不得将承揽的主要工作交由第三方完成；经定作方同意后将主要工作交第三方完成的，定作方的同意不能免除承揽方的质量责任。</w:t>
      </w:r>
    </w:p>
    <w:p w14:paraId="00FDA670">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2.承揽方将承揽的辅助工作交由第三方完成的，承揽方应对第三方的工作向定作方负责，同时承担连带责任。</w:t>
      </w:r>
    </w:p>
    <w:p w14:paraId="740CD163">
      <w:pPr>
        <w:widowControl/>
        <w:shd w:val="clear" w:color="auto" w:fill="FFFFFF"/>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3.承揽方未经定作方同意将承揽的主要工作交由第三方完成的，定作方有权解除合同，承揽方应承担违约责任，并对定作方由此造成的损失进行赔偿。</w:t>
      </w:r>
    </w:p>
    <w:p w14:paraId="70630922">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kern w:val="0"/>
          <w:sz w:val="28"/>
          <w:szCs w:val="28"/>
        </w:rPr>
        <w:t>四、原材料的提供办法及规格、数量、质量</w:t>
      </w:r>
    </w:p>
    <w:p w14:paraId="560CE390">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 w:eastAsia="仿宋_GB2312"/>
          <w:sz w:val="28"/>
          <w:szCs w:val="28"/>
        </w:rPr>
        <w:t>1.所有原材料由承揽方提供。承揽方提供的原材料应符合合同、技术协议及图纸要求。</w:t>
      </w:r>
      <w:r>
        <w:rPr>
          <w:rFonts w:hint="eastAsia" w:ascii="仿宋_GB2312" w:hAnsi="仿宋_GB2312" w:eastAsia="仿宋_GB2312" w:cs="仿宋_GB2312"/>
          <w:kern w:val="0"/>
          <w:sz w:val="28"/>
          <w:szCs w:val="28"/>
        </w:rPr>
        <w:t>承揽方隐瞒原材料的缺陷或者使用不符合合同、技术协议及图纸规定的原料而影响定作物的质量时，定作方有权要求重作，修理，减少价款或退货。</w:t>
      </w:r>
    </w:p>
    <w:p w14:paraId="61082582">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承揽方应将所提供原材料的出厂合格证明、材质证明等交付定作方，并经定作方检验合格后方能使用。定作方对承揽方所提供原材料按标准进行检验，但定作方对材料的检验合格不能免除承揽方对该材料的质量保证责任等其他责任。</w:t>
      </w:r>
    </w:p>
    <w:p w14:paraId="7AAB0827">
      <w:pPr>
        <w:widowControl/>
        <w:shd w:val="clear" w:color="auto" w:fill="FFFFFF"/>
        <w:spacing w:line="560" w:lineRule="exact"/>
        <w:ind w:left="905" w:leftChars="299" w:hanging="277" w:hangingChars="99"/>
        <w:rPr>
          <w:rFonts w:hint="eastAsia" w:ascii="黑体" w:hAnsi="黑体" w:eastAsia="黑体" w:cs="黑体"/>
          <w:kern w:val="0"/>
          <w:sz w:val="28"/>
          <w:szCs w:val="28"/>
        </w:rPr>
      </w:pPr>
      <w:r>
        <w:rPr>
          <w:rFonts w:hint="eastAsia" w:ascii="黑体" w:hAnsi="黑体" w:eastAsia="黑体" w:cs="黑体"/>
          <w:sz w:val="28"/>
          <w:szCs w:val="28"/>
        </w:rPr>
        <w:t>五、</w:t>
      </w:r>
      <w:r>
        <w:rPr>
          <w:rFonts w:hint="eastAsia" w:ascii="黑体" w:hAnsi="黑体" w:eastAsia="黑体" w:cs="黑体"/>
          <w:kern w:val="0"/>
          <w:sz w:val="28"/>
          <w:szCs w:val="28"/>
        </w:rPr>
        <w:t>技术资料、图纸的提供和保密</w:t>
      </w:r>
    </w:p>
    <w:p w14:paraId="0F61264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1.定作方提供总图及技术参数，承揽方按照定作方的总图及技术要求设计部件、零件图。</w:t>
      </w:r>
    </w:p>
    <w:p w14:paraId="0B4A8586">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kern w:val="0"/>
          <w:sz w:val="28"/>
          <w:szCs w:val="28"/>
        </w:rPr>
        <w:t>承揽方在依照定作方的要求进行工作期间，发现提供的图纸或技术要求不合理，应当及时通知定作方；定作方应当在三天内回复，提出修改意见，承揽方在规定的时间内未得到回复，有权停止工作，并及时通知定作方，因此造成的损失，由定作方承担。</w:t>
      </w:r>
    </w:p>
    <w:p w14:paraId="00A114AC">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3.承揽方对于承揽的工作，应当严格保密，保密的内容包含产品的终端用户信息、产品的型号、产品的技术协议、产品的图纸资料等，未经定作方许可不得留存技术资料和相关复制品。</w:t>
      </w:r>
    </w:p>
    <w:p w14:paraId="09CA32A3">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4.定作方</w:t>
      </w:r>
      <w:r>
        <w:rPr>
          <w:rFonts w:hint="eastAsia" w:ascii="仿宋_GB2312" w:hAnsi="仿宋_GB2312" w:eastAsia="仿宋_GB2312" w:cs="仿宋_GB2312"/>
          <w:sz w:val="28"/>
          <w:szCs w:val="28"/>
        </w:rPr>
        <w:t>要求对承揽物的技术性严格保密，承揽方应当严格遵守。承揽方不得擅自披露、使用定作方技术资料和图纸、制造再现定作方技术的器材、取走与定作方技术有关的物件；不得直接或间接地向任何第三人故意或过失泄露定作方技术资料、图纸或技术；不得允许(出借、赠与、出租、转让等处分定作方技术的行为皆属于“允许”)或协助任何第三人使用定作方的技术资料、图纸或技术；不得复制或公开包含定作方技术资料、图纸或技术的文件或文件副本；未经许可不得超出工作范围使用定作方的技术资料、图纸或技术；不得将定作方的技术资料、图纸或技术用于自身技术、设备的升级或研发。</w:t>
      </w:r>
    </w:p>
    <w:p w14:paraId="61E9A021">
      <w:pPr>
        <w:widowControl/>
        <w:shd w:val="clear" w:color="auto" w:fill="FFFFFF"/>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承揽方承诺交付的定做物未侵犯任何国家、企业、个人的知识产权，并保障定作方免于承受因侵犯任何知识产权而遭受的诉讼、仲裁、索赔或其他经济损失。否则，承揽方应承担定作方因此遭受所有损失的赔偿责任。</w:t>
      </w:r>
    </w:p>
    <w:p w14:paraId="4BBC6C4F">
      <w:pPr>
        <w:widowControl/>
        <w:shd w:val="clear" w:color="auto" w:fill="FFFFFF"/>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六、定做物的验收及质量保证</w:t>
      </w:r>
    </w:p>
    <w:p w14:paraId="3290DF8A">
      <w:pPr>
        <w:spacing w:line="560" w:lineRule="exact"/>
        <w:ind w:firstLine="560" w:firstLineChars="200"/>
        <w:rPr>
          <w:rFonts w:hint="eastAsia" w:ascii="仿宋" w:hAnsi="仿宋" w:eastAsia="仿宋" w:cs="仿宋"/>
          <w:sz w:val="28"/>
          <w:szCs w:val="28"/>
        </w:rPr>
      </w:pPr>
      <w:r>
        <w:rPr>
          <w:rFonts w:hint="eastAsia" w:ascii="仿宋_GB2312" w:hAnsi="仿宋_GB2312" w:eastAsia="仿宋_GB2312" w:cs="仿宋_GB2312"/>
          <w:sz w:val="28"/>
          <w:szCs w:val="28"/>
        </w:rPr>
        <w:t>1.</w:t>
      </w:r>
      <w:r>
        <w:rPr>
          <w:rFonts w:hint="eastAsia" w:ascii="仿宋" w:hAnsi="仿宋" w:eastAsia="仿宋" w:cs="仿宋"/>
          <w:sz w:val="28"/>
          <w:szCs w:val="28"/>
        </w:rPr>
        <w:t>验收标准：按定作方提供的图纸及GB25974.2-2010《煤矿用液压支架第2部分：立柱和千斤顶技术条件》要求验收。</w:t>
      </w:r>
    </w:p>
    <w:p w14:paraId="5B331C7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2.验收方法：抽检。</w:t>
      </w:r>
    </w:p>
    <w:p w14:paraId="3A3734E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3.验收地点：四川省华蓥市石岭岗路78号。</w:t>
      </w:r>
    </w:p>
    <w:p w14:paraId="4BD2201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4.验收时间：货到5日内检验完毕，无异议视为检验合格。对短期检验难以发现质量缺陷的定作物,在使用后30日内发现质量缺陷，定作方有权要求退还。</w:t>
      </w:r>
    </w:p>
    <w:p w14:paraId="3C6D3125">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kern w:val="0"/>
          <w:sz w:val="28"/>
          <w:szCs w:val="28"/>
        </w:rPr>
        <w:t>验收前承揽方应向定作方提交安标证明、原材料材质证明书、出厂合格证等必须的技术资料和有关质量证明。</w:t>
      </w:r>
    </w:p>
    <w:p w14:paraId="6E96E959">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6.双方就定作物的质量在检验中发生争议时，以质量监督检验机构提供检验证明为准。质量检验机构由双方共同指定，费用由承揽方垫付，由主张未被检验证明支持者最终承担。</w:t>
      </w:r>
    </w:p>
    <w:p w14:paraId="64CBA8C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7.质量保证：经验收合格之日起壹年内，承揽方对定做物的质量承担保证责任。</w:t>
      </w:r>
    </w:p>
    <w:p w14:paraId="1D8D6648">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8.质量保证期内，非因使用不当造成定做物质量问题的，由承揽方负责修理或重做，并承担因不能使用定做物造成的损失。同时，修理或重做后的定做物质保期应从验收合格之日起重新计算。</w:t>
      </w:r>
    </w:p>
    <w:p w14:paraId="7B9726B5">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9.质保期内，</w:t>
      </w:r>
      <w:r>
        <w:rPr>
          <w:rFonts w:hint="eastAsia" w:ascii="仿宋_GB2312" w:hAnsi="仿宋_GB2312" w:eastAsia="仿宋_GB2312" w:cs="仿宋_GB2312"/>
          <w:sz w:val="28"/>
          <w:szCs w:val="28"/>
        </w:rPr>
        <w:t>定做物出现任何质量问题，承揽</w:t>
      </w:r>
      <w:r>
        <w:rPr>
          <w:rFonts w:hint="eastAsia" w:ascii="仿宋_GB2312" w:hAnsi="仿宋_GB2312" w:eastAsia="仿宋_GB2312" w:cs="仿宋_GB2312"/>
          <w:kern w:val="0"/>
          <w:sz w:val="28"/>
          <w:szCs w:val="28"/>
        </w:rPr>
        <w:t>方必须在24小时内赶到现场处理并解决问题，如需更换配件承揽方必须在3个工作日内处理并解决问题并保证定做物正常运行。否则，将按照每天2000人民币元标准赔偿，定作方将从应支付承揽方的货款总额中扣除,定作方有权不通知承揽方进行扣款</w:t>
      </w:r>
      <w:r>
        <w:rPr>
          <w:rFonts w:hint="eastAsia" w:ascii="仿宋_GB2312" w:hAnsi="仿宋_GB2312" w:eastAsia="仿宋_GB2312" w:cs="仿宋_GB2312"/>
          <w:sz w:val="28"/>
          <w:szCs w:val="28"/>
        </w:rPr>
        <w:t>。</w:t>
      </w:r>
    </w:p>
    <w:p w14:paraId="7B984779">
      <w:pPr>
        <w:widowControl/>
        <w:shd w:val="clear" w:color="auto" w:fill="FFFFFF"/>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七、定做物的交付时间、地点及风险转移</w:t>
      </w:r>
    </w:p>
    <w:p w14:paraId="2B6724B6">
      <w:pPr>
        <w:widowControl/>
        <w:shd w:val="clear" w:color="auto" w:fill="FFFFFF"/>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1.定做物交付期限：合同签订后30日内。</w:t>
      </w:r>
    </w:p>
    <w:p w14:paraId="4704D1F7">
      <w:pPr>
        <w:widowControl/>
        <w:shd w:val="clear" w:color="auto" w:fill="FFFFFF"/>
        <w:spacing w:line="560" w:lineRule="exact"/>
        <w:ind w:firstLine="560" w:firstLineChars="200"/>
        <w:rPr>
          <w:rFonts w:hint="eastAsia" w:ascii="仿宋" w:hAnsi="仿宋" w:eastAsia="仿宋" w:cs="仿宋"/>
          <w:kern w:val="0"/>
          <w:sz w:val="28"/>
          <w:szCs w:val="28"/>
        </w:rPr>
      </w:pPr>
      <w:r>
        <w:rPr>
          <w:rFonts w:hint="eastAsia" w:ascii="仿宋_GB2312" w:hAnsi="仿宋_GB2312" w:eastAsia="仿宋_GB2312" w:cs="仿宋_GB2312"/>
          <w:kern w:val="0"/>
          <w:sz w:val="28"/>
          <w:szCs w:val="28"/>
        </w:rPr>
        <w:t>2.交付地点：</w:t>
      </w:r>
      <w:r>
        <w:rPr>
          <w:rFonts w:hint="eastAsia" w:ascii="仿宋" w:hAnsi="仿宋" w:eastAsia="仿宋" w:cs="仿宋"/>
          <w:sz w:val="28"/>
          <w:szCs w:val="28"/>
        </w:rPr>
        <w:t>四川省华蓥市石岭岗路78号</w:t>
      </w:r>
      <w:r>
        <w:rPr>
          <w:rFonts w:hint="eastAsia" w:ascii="仿宋" w:hAnsi="仿宋" w:eastAsia="仿宋" w:cs="仿宋"/>
          <w:kern w:val="0"/>
          <w:sz w:val="28"/>
          <w:szCs w:val="28"/>
        </w:rPr>
        <w:t>，联系人：罗欣，联系方式：18398602106。</w:t>
      </w:r>
    </w:p>
    <w:p w14:paraId="7D1A4299">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3.交付定做物日期的计算：以定作物到达交付地点后承揽方签收日期为准。</w:t>
      </w:r>
    </w:p>
    <w:p w14:paraId="08EB576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4.</w:t>
      </w:r>
      <w:r>
        <w:rPr>
          <w:rFonts w:hint="eastAsia" w:ascii="仿宋_GB2312" w:hAnsi="仿宋_GB2312" w:eastAsia="仿宋_GB2312" w:cs="仿宋_GB2312"/>
          <w:sz w:val="28"/>
          <w:szCs w:val="28"/>
        </w:rPr>
        <w:t>任何一方要求提前或延期交付定作物,应当事先与对方达成协议，所达成的协议与本合同有同等的法律效力。</w:t>
      </w:r>
    </w:p>
    <w:p w14:paraId="561FB79A">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5.定做物毁损、灭失的风险，在交付前由承揽方承担，交付后由定作方承担。</w:t>
      </w:r>
    </w:p>
    <w:p w14:paraId="1A60623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因定做物质量不符合质量要求，致使不能实现合同目的的，定作方可以拒绝接受或者解除合同，且承揽方应承担定作方因此遭受所有损失的赔偿责任。定作方拒绝接受或者解除合同的，定作物的毁损、灭失的风险由承揽方承担。</w:t>
      </w:r>
    </w:p>
    <w:p w14:paraId="6A1EE32A">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7.定做物风险的转移，不影响违约责任和产品侵权责任的主张。</w:t>
      </w:r>
    </w:p>
    <w:p w14:paraId="441F2006">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8.定做物交付后所有权即转移至定作方。</w:t>
      </w:r>
    </w:p>
    <w:p w14:paraId="13AE4620">
      <w:pPr>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八、包装要求及费用承担</w:t>
      </w:r>
    </w:p>
    <w:p w14:paraId="2D3C27DF">
      <w:pPr>
        <w:pStyle w:val="4"/>
        <w:spacing w:line="560" w:lineRule="exact"/>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lang w:val="en-US" w:eastAsia="zh-CN"/>
        </w:rPr>
        <w:t>1.定做物标识：</w:t>
      </w:r>
      <w:r>
        <w:rPr>
          <w:rFonts w:hint="eastAsia" w:ascii="仿宋_GB2312" w:hAnsi="仿宋_GB2312" w:eastAsia="仿宋_GB2312" w:cs="仿宋_GB2312"/>
          <w:kern w:val="0"/>
          <w:sz w:val="28"/>
          <w:szCs w:val="28"/>
        </w:rPr>
        <w:t>承揽方按照定作方的要求，将产品商标标识以喷漆方式印刷在油缸两侧，商标模板由定作方提供，承揽方所出售的产品有明确的标示牌（标示牌为不锈钢铭牌，采用点焊方式贴牌；标示牌上不能出现承揽方单位名称及单位信息），标牌上要清楚注明承揽方厂内煤安证号码。</w:t>
      </w:r>
    </w:p>
    <w:p w14:paraId="6D22239F">
      <w:pPr>
        <w:widowControl/>
        <w:shd w:val="clear" w:color="auto" w:fill="FFFFFF"/>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2.包装费用承担：包装费由承揽方承担</w:t>
      </w:r>
    </w:p>
    <w:p w14:paraId="24F32756">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九、运输方式及费用承担</w:t>
      </w:r>
    </w:p>
    <w:p w14:paraId="2257C52E">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承揽方采用汽车专车运输的方式将定做物运送至交付地点并承担费用。</w:t>
      </w:r>
    </w:p>
    <w:p w14:paraId="1EC45C21">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十、价款的结算及支付</w:t>
      </w:r>
    </w:p>
    <w:p w14:paraId="4E1342FC">
      <w:pPr>
        <w:widowControl/>
        <w:shd w:val="clear" w:color="auto" w:fill="FFFFFF"/>
        <w:spacing w:line="560" w:lineRule="exact"/>
        <w:ind w:firstLine="560" w:firstLineChars="200"/>
        <w:rPr>
          <w:rFonts w:hint="eastAsia" w:ascii="仿宋" w:hAnsi="仿宋" w:eastAsia="仿宋" w:cs="仿宋"/>
          <w:sz w:val="28"/>
          <w:szCs w:val="28"/>
        </w:rPr>
      </w:pPr>
      <w:r>
        <w:rPr>
          <w:rFonts w:hint="eastAsia" w:ascii="仿宋_GB2312" w:hAnsi="仿宋_GB2312" w:eastAsia="仿宋_GB2312" w:cs="仿宋_GB2312"/>
          <w:sz w:val="28"/>
          <w:szCs w:val="28"/>
        </w:rPr>
        <w:t>1.价款的结算方式：</w:t>
      </w:r>
      <w:r>
        <w:rPr>
          <w:rFonts w:hint="eastAsia" w:ascii="仿宋" w:hAnsi="仿宋" w:eastAsia="仿宋" w:cs="仿宋"/>
          <w:sz w:val="28"/>
          <w:szCs w:val="28"/>
        </w:rPr>
        <w:t>本合同金额为固定单价合同，最终结算以千斤顶到货实际称重重量乘以合同单价作为结算金额；单件油缸重量不得超过图纸重量的2%，超出重量将不予结算。</w:t>
      </w:r>
    </w:p>
    <w:p w14:paraId="4D62BA20">
      <w:pPr>
        <w:widowControl/>
        <w:shd w:val="clear" w:color="auto" w:fill="FFFFFF"/>
        <w:spacing w:line="560" w:lineRule="exact"/>
        <w:ind w:firstLine="560" w:firstLineChars="200"/>
        <w:rPr>
          <w:rFonts w:hint="eastAsia" w:ascii="仿宋" w:hAnsi="仿宋" w:eastAsia="仿宋" w:cs="仿宋"/>
          <w:color w:val="FF0000"/>
          <w:sz w:val="24"/>
          <w:u w:val="single"/>
        </w:rPr>
      </w:pPr>
      <w:r>
        <w:rPr>
          <w:rFonts w:hint="eastAsia" w:ascii="仿宋" w:hAnsi="仿宋" w:eastAsia="仿宋" w:cs="仿宋"/>
          <w:sz w:val="28"/>
          <w:szCs w:val="28"/>
        </w:rPr>
        <w:t>2.价款的支付时间及方式：合同签订后，货到验收合格且承揽方开具合同总金额含13%增值税专用发票交到定做方后滚动付款。</w:t>
      </w:r>
    </w:p>
    <w:p w14:paraId="5E0D8618">
      <w:pPr>
        <w:widowControl/>
        <w:shd w:val="clear" w:color="auto" w:fill="FFFFFF"/>
        <w:spacing w:line="560" w:lineRule="exact"/>
        <w:rPr>
          <w:rFonts w:hint="eastAsia" w:ascii="黑体" w:hAnsi="黑体" w:eastAsia="黑体" w:cs="黑体"/>
          <w:sz w:val="28"/>
          <w:szCs w:val="28"/>
        </w:rPr>
      </w:pPr>
      <w:r>
        <w:rPr>
          <w:rFonts w:hint="eastAsia" w:ascii="黑体" w:hAnsi="黑体" w:eastAsia="黑体" w:cs="黑体"/>
          <w:sz w:val="28"/>
          <w:szCs w:val="28"/>
        </w:rPr>
        <w:t>十一、定做物监造与检验</w:t>
      </w:r>
    </w:p>
    <w:p w14:paraId="014B8127">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1.承揽方应在本合同生效日期起15天内，向定作方提供定做物制造和检验标准的目录和具体内容。制造和检验标准应符合本合同设计图纸和技术附件的规定。</w:t>
      </w:r>
    </w:p>
    <w:p w14:paraId="7D9D7740">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检验的标准为本合同技术附件所列的相应标准，定作方自行进行设备监造，监督和检查定做物组装、检验、试验、包装质量及制造进度情况，承揽方有积极配合监造的义务，在监造中及时提供相应资料和标准，并承担因此而发生任何费用。</w:t>
      </w:r>
    </w:p>
    <w:p w14:paraId="478E470D">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揽方必须如实为定作方监造代表的监造检验提供定做物投料时间、生产计划及实际生产进度和检验计划，无偿提供与本合同设备监造有关的标准（包括工厂标准）、资料、工艺及实际工艺过程和检验记录（包括中间检验记录和/或不一致性报告）及本合同技术附件规定的有关文件以及复印件。</w:t>
      </w:r>
    </w:p>
    <w:p w14:paraId="237DD59A">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4.承揽方应向定作方监造代表提供设备的制造和质量检验等的管理控制程序，同时应接受监造代表的监督；并应认真配合监造代表对有关制造过程和检验记录的抽查。</w:t>
      </w:r>
    </w:p>
    <w:p w14:paraId="59CBBCFF">
      <w:pPr>
        <w:widowControl/>
        <w:shd w:val="clear" w:color="auto" w:fill="FFFFFF"/>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5.承揽方应配合定作方监造代表的工作，及时解决监造代表提出的质量异议；否则，定作方有权拒收该定做物或解除合同，同时就因此遭受的损失向承揽方索赔。</w:t>
      </w:r>
    </w:p>
    <w:p w14:paraId="7C9A3819">
      <w:pPr>
        <w:widowControl/>
        <w:shd w:val="clear" w:color="auto" w:fill="FFFFFF"/>
        <w:spacing w:line="4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6.承揽方应在定做物完成后一周内向定作方递交正式的检验报告一式二份。</w:t>
      </w:r>
    </w:p>
    <w:p w14:paraId="3CEACA6A">
      <w:pPr>
        <w:widowControl/>
        <w:shd w:val="clear" w:color="auto" w:fill="FFFFFF"/>
        <w:spacing w:line="4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7.承揽方应免费提供定作方监造代表食宿以及厂内办公地点、交通工具、通讯设施的便利。</w:t>
      </w:r>
    </w:p>
    <w:p w14:paraId="29083633">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十二、违约责任</w:t>
      </w:r>
    </w:p>
    <w:p w14:paraId="392513CA">
      <w:pPr>
        <w:spacing w:line="560" w:lineRule="exact"/>
        <w:ind w:firstLine="562" w:firstLineChars="200"/>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（一）承揽方的违约责任</w:t>
      </w:r>
    </w:p>
    <w:p w14:paraId="432DA5E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bookmarkStart w:id="0" w:name="383448e6570b41d6b327d6c07c412a22"/>
      <w:bookmarkEnd w:id="0"/>
      <w:r>
        <w:rPr>
          <w:rFonts w:hint="eastAsia" w:ascii="仿宋_GB2312" w:hAnsi="仿宋_GB2312" w:eastAsia="仿宋_GB2312" w:cs="仿宋_GB2312"/>
          <w:sz w:val="28"/>
          <w:szCs w:val="28"/>
        </w:rPr>
        <w:t>承揽方应按照本合同约定的期限向定作方交付定做物，如承揽方逾期交付的，每逾期一日，应按照本合同总价款的</w:t>
      </w:r>
      <w:r>
        <w:rPr>
          <w:rFonts w:hint="eastAsia" w:ascii="仿宋_GB2312" w:hAnsi="仿宋_GB2312" w:eastAsia="仿宋_GB2312" w:cs="仿宋_GB2312"/>
          <w:sz w:val="28"/>
          <w:szCs w:val="28"/>
          <w:u w:val="single"/>
        </w:rPr>
        <w:t>0.1</w:t>
      </w:r>
      <w:r>
        <w:rPr>
          <w:rFonts w:hint="eastAsia" w:ascii="仿宋_GB2312" w:hAnsi="仿宋_GB2312" w:eastAsia="仿宋_GB2312" w:cs="仿宋_GB2312"/>
          <w:sz w:val="28"/>
          <w:szCs w:val="28"/>
        </w:rPr>
        <w:t>%向定作方支付违约金，如造成定作方停工待料，尚需承担定作方因此所受的经济损失（包括但不限于：1.承揽方延期交付导致的定作方员工因加班加点而额外支付的报酬；2.承揽方延期交付导致定作方向第三方支付的违约金、赔偿金、为实现债权所产生的调查费、公证费、按政府指导价支付的律师费、因追索损失支付的诉讼费、交通费、差旅费、保全费等费用）。逾期达</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日及以上的，视为承揽方不能完成交付，定作方有权解除本合同，除上述逾期违约金外，承揽方还应按照本合同总价款的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%向定作方承担合同解除的违约责任，该违约金不足以弥补定作方因此导致的全部损失的，承揽方应负责继续赔偿。</w:t>
      </w:r>
    </w:p>
    <w:p w14:paraId="56AAB3A2">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承揽方未按本合同约定的质量要求交付定做物，该批定做物视为不合格品。如定作方同意让步接受该批不合格品的，让步接收部分单价应按合同约定单价降价结算，并就新的价款协商一致，否则定作方仍有权拒收；如定作方未接受该批不合格品，承揽方应负责修理、更换或重作，本合同约定的交货期不予顺延，如承揽方未能如期交货，承揽方应承担相应的违约责任；经过修理、更换或重作后，仍不符合本合同约定，定作方有权拒收并单方解除本合同，为此，承揽方须向定作方偿付该批不合格品</w:t>
      </w:r>
      <w:r>
        <w:rPr>
          <w:rFonts w:hint="eastAsia" w:ascii="仿宋_GB2312" w:hAnsi="仿宋_GB2312" w:eastAsia="仿宋_GB2312" w:cs="仿宋_GB2312"/>
          <w:sz w:val="28"/>
          <w:szCs w:val="28"/>
        </w:rPr>
        <w:t>总价的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%的违约金，并赔偿定作方的全部直接和间接损失（包括但不限于因另委托第三方或寻求替代品而额外支付的费用、因影响工程进度而向承担的违约和赔偿责任等）</w:t>
      </w:r>
      <w:r>
        <w:rPr>
          <w:rFonts w:hint="eastAsia" w:ascii="仿宋_GB2312" w:hAnsi="仿宋_GB2312" w:eastAsia="仿宋_GB2312" w:cs="仿宋_GB2312"/>
          <w:kern w:val="0"/>
          <w:sz w:val="28"/>
          <w:szCs w:val="28"/>
        </w:rPr>
        <w:t>。</w:t>
      </w:r>
    </w:p>
    <w:p w14:paraId="2A9B9A7A">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3.承揽方未按本合同约定数量交付定做物。如定作方需要，承揽方应照数补齐，交货期不予顺延；如定作方不需要，承揽方须向定作方偿付</w:t>
      </w:r>
      <w:r>
        <w:rPr>
          <w:rFonts w:hint="eastAsia" w:ascii="仿宋_GB2312" w:hAnsi="仿宋_GB2312" w:eastAsia="仿宋_GB2312" w:cs="仿宋_GB2312"/>
          <w:sz w:val="28"/>
          <w:szCs w:val="28"/>
        </w:rPr>
        <w:t>不能交货部分定做物总价的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%的违约金，并赔偿定作方损失</w:t>
      </w:r>
      <w:r>
        <w:rPr>
          <w:rFonts w:hint="eastAsia" w:ascii="仿宋_GB2312" w:hAnsi="仿宋_GB2312" w:eastAsia="仿宋_GB2312" w:cs="仿宋_GB2312"/>
          <w:kern w:val="0"/>
          <w:sz w:val="28"/>
          <w:szCs w:val="28"/>
        </w:rPr>
        <w:t>。</w:t>
      </w:r>
    </w:p>
    <w:p w14:paraId="4A28AC66">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4.承揽方未按照合同约定地点向定作方交付加工成品的，承揽方应承担交付至本合同约定地点的所有运输费用和额外支出。且因交付延迟给定作方造成损失的，承揽方应给予全部赔偿。</w:t>
      </w:r>
    </w:p>
    <w:p w14:paraId="4C077D5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5.承揽</w:t>
      </w:r>
      <w:r>
        <w:rPr>
          <w:rFonts w:hint="eastAsia" w:ascii="仿宋_GB2312" w:hAnsi="仿宋_GB2312" w:eastAsia="仿宋_GB2312" w:cs="仿宋_GB2312"/>
          <w:sz w:val="28"/>
          <w:szCs w:val="28"/>
        </w:rPr>
        <w:t>方未按本合同约定包装定做物，如定作方要求承揽方修理或重新包装，应负责修理或重新包装；如定作方不要求承揽方修理或重新包装而要求赔偿损失，承揽方应当偿付定作方该不合格包装物低于合格包装物的价值部分。因包装不符合同规定造成定做物毁损、灭失的，由承揽方按照本合同总价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%向定作方承担违约责任，并赔偿定作方的全部损失。</w:t>
      </w:r>
    </w:p>
    <w:p w14:paraId="6EACDFA5">
      <w:pPr>
        <w:widowControl/>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6.</w:t>
      </w:r>
      <w:r>
        <w:rPr>
          <w:rFonts w:hint="eastAsia" w:ascii="仿宋_GB2312" w:hAnsi="仿宋_GB2312" w:eastAsia="仿宋_GB2312" w:cs="仿宋_GB2312"/>
          <w:sz w:val="28"/>
          <w:szCs w:val="28"/>
        </w:rPr>
        <w:t>如因承揽方所提供的定做物质量问题或承揽方的其他原因导致定作方或任何第三方人身或财产遭受损失的，承揽方应负责赔偿。</w:t>
      </w:r>
    </w:p>
    <w:p w14:paraId="2593CBAC">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合同项下定作方损失包括但不限于因承揽方违约导致定作方向第三方支付的违约金、赔偿金、为实现债权所产生的调查费、公证费、按政府指导价支付的律师费、因追索损失支付的诉讼费、交通费、差旅费、保全费等费用。</w:t>
      </w:r>
    </w:p>
    <w:p w14:paraId="70505FBC">
      <w:pPr>
        <w:widowControl/>
        <w:spacing w:line="560" w:lineRule="exact"/>
        <w:ind w:firstLine="562" w:firstLineChars="200"/>
        <w:rPr>
          <w:rFonts w:hint="eastAsia"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（二）定作方违约责任</w:t>
      </w:r>
    </w:p>
    <w:p w14:paraId="409704FA">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1.定作方有权在定做物交付日前</w:t>
      </w:r>
      <w:r>
        <w:rPr>
          <w:rFonts w:hint="eastAsia" w:ascii="仿宋_GB2312" w:hAnsi="仿宋_GB2312" w:eastAsia="仿宋_GB2312" w:cs="仿宋_GB2312"/>
          <w:kern w:val="0"/>
          <w:sz w:val="28"/>
          <w:szCs w:val="28"/>
          <w:u w:val="single"/>
        </w:rPr>
        <w:t>30</w:t>
      </w:r>
      <w:r>
        <w:rPr>
          <w:rFonts w:hint="eastAsia" w:ascii="仿宋_GB2312" w:hAnsi="仿宋_GB2312" w:eastAsia="仿宋_GB2312" w:cs="仿宋_GB2312"/>
          <w:kern w:val="0"/>
          <w:sz w:val="28"/>
          <w:szCs w:val="28"/>
        </w:rPr>
        <w:t>日内采取通知承揽方的方式中途变更定作物的数量、规格（包括但不限于：设计方案、技术要求、原材料或零部件等）、质量要求等，承揽方对此无异议，但定作方如超过上述期间要求进行上述变化的，承揽方有权顺延工期并就因此额外产生的费用向定作方主张。</w:t>
      </w:r>
    </w:p>
    <w:p w14:paraId="06172EA2">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2.定作方未按合同规定的时间和要求向承揽方提供技术资料、图纸等或</w:t>
      </w:r>
      <w:r>
        <w:rPr>
          <w:rFonts w:hint="eastAsia" w:ascii="仿宋_GB2312" w:hAnsi="仿宋_GB2312" w:eastAsia="仿宋_GB2312" w:cs="仿宋_GB2312"/>
          <w:sz w:val="28"/>
          <w:szCs w:val="28"/>
        </w:rPr>
        <w:t>未完成必要的辅助工作和准备工作，承揽方交付定做物的日期予以顺延。</w:t>
      </w:r>
    </w:p>
    <w:p w14:paraId="45BAA0E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3.除法律规定或本合同另有约定外，定作方</w:t>
      </w:r>
      <w:r>
        <w:rPr>
          <w:rFonts w:hint="eastAsia" w:ascii="仿宋_GB2312" w:hAnsi="仿宋_GB2312" w:eastAsia="仿宋_GB2312" w:cs="仿宋_GB2312"/>
          <w:sz w:val="28"/>
          <w:szCs w:val="28"/>
        </w:rPr>
        <w:t>无故拒绝受领定做物，应当赔偿承揽方因此造成的损失（包括但不限于因承揽方违约导致托定作方向第三方支付的违约金、赔偿金、为实现债权所产生的调查费、公证费、按政府指导价支付的律师费、因追索损失支付的诉讼费、交通费、差旅费、保全费等费用）。</w:t>
      </w:r>
    </w:p>
    <w:p w14:paraId="4D32ED0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4.无论因任何原因导致定作方应向承揽方承担违约或赔偿责任的，承揽方均不得未经定作方书面同意而先行使本合同项下定做物的留置权。</w:t>
      </w:r>
    </w:p>
    <w:p w14:paraId="1AFD67D0">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十三、合同的变更</w:t>
      </w:r>
      <w:bookmarkStart w:id="1" w:name="13bf97aad8224c808de462d2c89a3713"/>
      <w:bookmarkEnd w:id="1"/>
      <w:r>
        <w:rPr>
          <w:rFonts w:hint="eastAsia" w:ascii="黑体" w:hAnsi="黑体" w:eastAsia="黑体" w:cs="黑体"/>
          <w:sz w:val="28"/>
          <w:szCs w:val="28"/>
        </w:rPr>
        <w:t>、解除</w:t>
      </w:r>
    </w:p>
    <w:p w14:paraId="1B84B010">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1.除本合同另有约定外，经双方协商一致，可以对本合同进行变更或解除，但任何变更或解除均须以书面形式进行。</w:t>
      </w:r>
      <w:bookmarkStart w:id="2" w:name="a0719a849530444cb2de057b3a23185c"/>
      <w:bookmarkEnd w:id="2"/>
    </w:p>
    <w:p w14:paraId="2588705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2.因不可抗力使合同目的不能实现的，当事人可解除本合同</w:t>
      </w:r>
      <w:bookmarkStart w:id="3" w:name="e83c31e1afe24721bc87b42a8da8055b"/>
      <w:bookmarkEnd w:id="3"/>
      <w:r>
        <w:rPr>
          <w:rFonts w:hint="eastAsia" w:ascii="仿宋_GB2312" w:hAnsi="仿宋_GB2312" w:eastAsia="仿宋_GB2312" w:cs="仿宋_GB2312"/>
          <w:sz w:val="28"/>
          <w:szCs w:val="28"/>
        </w:rPr>
        <w:t>，但必须提前书面通知对方，以便对方采取措施避免损失的进一步扩大，否则，遭遇不可抗力的一方应就对方因此所扩大的损失进行赔偿。</w:t>
      </w:r>
    </w:p>
    <w:p w14:paraId="120F3B0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3.在本合同履行期届满之前，当事人一方明确表示或以自己的行为表明不履行合同主要义务的</w:t>
      </w:r>
      <w:bookmarkStart w:id="4" w:name="4036593f803347fda2afacb099239d32"/>
      <w:bookmarkEnd w:id="4"/>
      <w:r>
        <w:rPr>
          <w:rFonts w:hint="eastAsia" w:ascii="仿宋_GB2312" w:hAnsi="仿宋_GB2312" w:eastAsia="仿宋_GB2312" w:cs="仿宋_GB2312"/>
          <w:sz w:val="28"/>
          <w:szCs w:val="28"/>
        </w:rPr>
        <w:t>，另一方可以单方解除本合同。</w:t>
      </w:r>
    </w:p>
    <w:p w14:paraId="7E876181">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4.当事人一方迟延履行主要债务，经催告后在合理期限内仍未履行的，另一方可以单方解除本合同。</w:t>
      </w:r>
    </w:p>
    <w:p w14:paraId="62860E5E">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5.当事人有其他违约或违法行为致使合同目的不能实现的</w:t>
      </w:r>
      <w:bookmarkStart w:id="5" w:name="cb08b058d39049f69c10f17903be4331"/>
      <w:bookmarkEnd w:id="5"/>
      <w:r>
        <w:rPr>
          <w:rFonts w:hint="eastAsia" w:ascii="仿宋_GB2312" w:hAnsi="仿宋_GB2312" w:eastAsia="仿宋_GB2312" w:cs="仿宋_GB2312"/>
          <w:sz w:val="28"/>
          <w:szCs w:val="28"/>
        </w:rPr>
        <w:t>，另一方可以单方解除本合同。</w:t>
      </w:r>
    </w:p>
    <w:p w14:paraId="439F6F48">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十四、不可抗力</w:t>
      </w:r>
    </w:p>
    <w:p w14:paraId="7711AA79">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1.如果本合同任何一方因受不可抗力事件影响而未能履行本合同义务，该义务的履行在不可抗力事件妨碍其履行期间应予中止。</w:t>
      </w:r>
      <w:bookmarkStart w:id="6" w:name="3bba56d8c3ce438ab21c39d153c8c54b"/>
      <w:bookmarkEnd w:id="6"/>
    </w:p>
    <w:p w14:paraId="66E2DF2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声称受到不可抗力事件影响的一方应尽可能在最短的时间内通知另一方，并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bookmarkStart w:id="7" w:name="da4cb66f578c4a3abca41c90bccc2be0"/>
      <w:bookmarkEnd w:id="7"/>
    </w:p>
    <w:p w14:paraId="042A283A">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bookmarkStart w:id="8" w:name="6f62deeb928f4ca48196cd235770ffee"/>
      <w:bookmarkEnd w:id="8"/>
    </w:p>
    <w:p w14:paraId="2CA0B31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bookmarkStart w:id="9" w:name="26cf286ec40d4aff9c4704fb61581b85"/>
      <w:bookmarkEnd w:id="9"/>
    </w:p>
    <w:p w14:paraId="38632E5F">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十五、争议的解决</w:t>
      </w:r>
    </w:p>
    <w:p w14:paraId="724869A5">
      <w:pPr>
        <w:spacing w:line="56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本合同在履行过程中发生的争议或因与本合同有关的任何纠纷，由双方当事人协商解决；协商不成的，按下列第</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lang w:val="zh-CN"/>
        </w:rPr>
        <w:t>种方式解决：</w:t>
      </w:r>
    </w:p>
    <w:p w14:paraId="5E755482">
      <w:pPr>
        <w:spacing w:line="56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zh-CN"/>
        </w:rPr>
        <w:t xml:space="preserve">提交 </w:t>
      </w:r>
      <w:r>
        <w:rPr>
          <w:rFonts w:hint="eastAsia" w:ascii="仿宋_GB2312" w:hAnsi="仿宋_GB2312" w:eastAsia="仿宋_GB2312" w:cs="仿宋_GB2312"/>
          <w:sz w:val="28"/>
          <w:szCs w:val="28"/>
          <w:u w:val="single"/>
          <w:lang w:val="zh-CN"/>
        </w:rPr>
        <w:t xml:space="preserve">            </w:t>
      </w:r>
      <w:r>
        <w:rPr>
          <w:rFonts w:hint="eastAsia" w:ascii="仿宋_GB2312" w:hAnsi="仿宋_GB2312" w:eastAsia="仿宋_GB2312" w:cs="仿宋_GB2312"/>
          <w:sz w:val="28"/>
          <w:szCs w:val="28"/>
          <w:lang w:val="zh-CN"/>
        </w:rPr>
        <w:t xml:space="preserve"> 仲裁委员会仲裁。</w:t>
      </w:r>
    </w:p>
    <w:p w14:paraId="0631FDCB">
      <w:pPr>
        <w:spacing w:line="56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2</w:t>
      </w:r>
      <w:r>
        <w:rPr>
          <w:rFonts w:hint="eastAsia" w:ascii="仿宋" w:hAnsi="仿宋" w:eastAsia="仿宋" w:cs="仿宋"/>
          <w:sz w:val="28"/>
          <w:szCs w:val="28"/>
        </w:rPr>
        <w:t>.</w:t>
      </w:r>
      <w:r>
        <w:rPr>
          <w:rFonts w:hint="eastAsia" w:ascii="仿宋" w:hAnsi="仿宋" w:eastAsia="仿宋" w:cs="仿宋"/>
          <w:sz w:val="28"/>
          <w:szCs w:val="28"/>
          <w:lang w:val="zh-CN"/>
        </w:rPr>
        <w:t>依法</w:t>
      </w:r>
      <w:r>
        <w:rPr>
          <w:rFonts w:hint="eastAsia" w:ascii="仿宋_GB2312" w:hAnsi="仿宋_GB2312" w:eastAsia="仿宋_GB2312" w:cs="仿宋_GB2312"/>
          <w:sz w:val="28"/>
          <w:szCs w:val="28"/>
          <w:u w:val="single"/>
        </w:rPr>
        <w:t>向合同签署地</w:t>
      </w:r>
      <w:r>
        <w:rPr>
          <w:rFonts w:hint="eastAsia" w:ascii="仿宋" w:hAnsi="仿宋" w:eastAsia="仿宋" w:cs="仿宋"/>
          <w:sz w:val="28"/>
          <w:szCs w:val="28"/>
          <w:u w:val="none" w:color="FFFFFF"/>
          <w:lang w:val="zh-CN"/>
        </w:rPr>
        <w:t>人民</w:t>
      </w:r>
      <w:r>
        <w:rPr>
          <w:rFonts w:hint="eastAsia" w:ascii="仿宋" w:hAnsi="仿宋" w:eastAsia="仿宋" w:cs="仿宋"/>
          <w:sz w:val="28"/>
          <w:szCs w:val="28"/>
          <w:lang w:val="zh-CN"/>
        </w:rPr>
        <w:t>法院起诉</w:t>
      </w:r>
      <w:r>
        <w:rPr>
          <w:rFonts w:hint="eastAsia" w:ascii="仿宋_GB2312" w:hAnsi="仿宋_GB2312" w:eastAsia="仿宋_GB2312" w:cs="仿宋_GB2312"/>
          <w:sz w:val="28"/>
          <w:szCs w:val="28"/>
          <w:lang w:val="zh-CN"/>
        </w:rPr>
        <w:t>。</w:t>
      </w:r>
    </w:p>
    <w:p w14:paraId="69C07A0F">
      <w:pPr>
        <w:widowControl/>
        <w:spacing w:line="560" w:lineRule="exact"/>
        <w:ind w:firstLine="560" w:firstLineChars="200"/>
        <w:rPr>
          <w:rFonts w:hint="eastAsia" w:ascii="黑体" w:hAnsi="黑体" w:eastAsia="黑体" w:cs="黑体"/>
          <w:b/>
          <w:kern w:val="0"/>
          <w:sz w:val="28"/>
          <w:szCs w:val="28"/>
        </w:rPr>
      </w:pPr>
      <w:r>
        <w:rPr>
          <w:rFonts w:hint="eastAsia" w:ascii="黑体" w:hAnsi="黑体" w:eastAsia="黑体" w:cs="黑体"/>
          <w:sz w:val="28"/>
          <w:szCs w:val="28"/>
        </w:rPr>
        <w:t>十六、</w:t>
      </w:r>
      <w:r>
        <w:rPr>
          <w:rFonts w:hint="eastAsia" w:ascii="黑体" w:hAnsi="黑体" w:eastAsia="黑体" w:cs="黑体"/>
          <w:b/>
          <w:kern w:val="0"/>
          <w:sz w:val="28"/>
          <w:szCs w:val="28"/>
        </w:rPr>
        <w:t>双方约定的其他事项</w:t>
      </w:r>
    </w:p>
    <w:p w14:paraId="04CBD361">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1.</w:t>
      </w:r>
      <w:r>
        <w:rPr>
          <w:rFonts w:hint="eastAsia" w:ascii="仿宋_GB2312" w:hAnsi="仿宋_GB2312" w:eastAsia="仿宋_GB2312" w:cs="仿宋_GB2312"/>
          <w:sz w:val="28"/>
          <w:szCs w:val="28"/>
        </w:rPr>
        <w:t>本合同关于双方当事人利益的约定，对双方均有约束力，未经一方书面同意，另一方不得擅自全部或部分转让本合同所约定的双方各自的权利或义务。</w:t>
      </w:r>
    </w:p>
    <w:p w14:paraId="7449EE50">
      <w:pPr>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十七、其他</w:t>
      </w:r>
    </w:p>
    <w:p w14:paraId="04E11188">
      <w:pPr>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1.本合同自双方签字并盖章之日起生效，合同履行完毕即失效，本合同执行期间，双方不得随意变更和合同解除。</w:t>
      </w:r>
    </w:p>
    <w:p w14:paraId="30585316">
      <w:pPr>
        <w:spacing w:line="560" w:lineRule="exact"/>
        <w:ind w:firstLine="560" w:firstLineChars="200"/>
        <w:rPr>
          <w:rFonts w:hint="eastAsia" w:ascii="DFKai-SB" w:hAnsi="DFKai-SB" w:eastAsia="DFKai-SB" w:cs="宋体"/>
          <w:kern w:val="0"/>
          <w:sz w:val="24"/>
          <w:u w:val="single"/>
        </w:rPr>
      </w:pPr>
      <w:r>
        <w:rPr>
          <w:rFonts w:hint="eastAsia" w:ascii="仿宋_GB2312" w:hAnsi="仿宋_GB2312" w:eastAsia="仿宋_GB2312" w:cs="仿宋_GB2312"/>
          <w:kern w:val="0"/>
          <w:sz w:val="28"/>
          <w:szCs w:val="28"/>
        </w:rPr>
        <w:t>2.本合同一式肆份，定作方和承揽方各持贰份。</w:t>
      </w:r>
    </w:p>
    <w:p w14:paraId="009B73D6">
      <w:pPr>
        <w:widowControl/>
        <w:spacing w:line="400" w:lineRule="exact"/>
        <w:ind w:firstLine="480" w:firstLineChars="200"/>
        <w:jc w:val="left"/>
        <w:rPr>
          <w:rFonts w:hint="eastAsia" w:ascii="DFKai-SB" w:hAnsi="DFKai-SB" w:eastAsia="DFKai-SB" w:cs="宋体"/>
          <w:kern w:val="0"/>
          <w:sz w:val="24"/>
          <w:u w:val="single"/>
        </w:rPr>
      </w:pPr>
      <w:r>
        <w:rPr>
          <w:rFonts w:hint="eastAsia" w:ascii="DFKai-SB" w:hAnsi="DFKai-SB" w:eastAsia="DFKai-SB" w:cs="宋体"/>
          <w:kern w:val="0"/>
          <w:sz w:val="24"/>
          <w:u w:val="single"/>
        </w:rPr>
        <w:t xml:space="preserve">                                         </w:t>
      </w:r>
    </w:p>
    <w:p w14:paraId="6B4F3D5E">
      <w:pPr>
        <w:pStyle w:val="3"/>
        <w:spacing w:line="400" w:lineRule="exact"/>
        <w:ind w:left="4760" w:right="-512" w:rightChars="-244" w:hanging="4760" w:hangingChars="17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定作方：</w:t>
      </w:r>
      <w:r>
        <w:rPr>
          <w:rFonts w:hint="eastAsia" w:ascii="仿宋_GB2312" w:hAnsi="仿宋_GB2312" w:eastAsia="仿宋_GB2312" w:cs="仿宋_GB2312"/>
          <w:kern w:val="0"/>
          <w:sz w:val="24"/>
          <w:lang w:val="en-US" w:eastAsia="zh-CN"/>
        </w:rPr>
        <w:t>{{companyName}}</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ab/>
      </w:r>
      <w:r>
        <w:rPr>
          <w:rFonts w:hint="eastAsia" w:ascii="仿宋_GB2312" w:hAnsi="仿宋_GB2312" w:eastAsia="仿宋_GB2312" w:cs="仿宋_GB2312"/>
          <w:kern w:val="0"/>
          <w:sz w:val="28"/>
          <w:szCs w:val="28"/>
        </w:rPr>
        <w:t>承揽方：</w:t>
      </w:r>
      <w:r>
        <w:rPr>
          <w:rFonts w:hint="eastAsia" w:ascii="仿宋_GB2312" w:hAnsi="仿宋_GB2312" w:eastAsia="仿宋_GB2312" w:cs="仿宋_GB2312"/>
          <w:kern w:val="0"/>
          <w:sz w:val="24"/>
          <w:lang w:val="en-US" w:eastAsia="zh-CN"/>
        </w:rPr>
        <w:t>{{orgName}}</w:t>
      </w:r>
    </w:p>
    <w:p w14:paraId="0D093323">
      <w:pPr>
        <w:widowControl/>
        <w:spacing w:line="40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法定代表人：</w:t>
      </w:r>
      <w:r>
        <w:rPr>
          <w:rFonts w:hint="eastAsia" w:ascii="仿宋_GB2312" w:hAnsi="仿宋_GB2312" w:eastAsia="仿宋_GB2312" w:cs="仿宋_GB2312"/>
          <w:kern w:val="0"/>
          <w:sz w:val="24"/>
          <w:lang w:val="en-US" w:eastAsia="zh-CN"/>
        </w:rPr>
        <w:t>{{legalPerson}}</w:t>
      </w:r>
      <w:r>
        <w:rPr>
          <w:rFonts w:hint="eastAsia" w:ascii="仿宋_GB2312" w:hAnsi="仿宋_GB2312" w:eastAsia="仿宋_GB2312" w:cs="仿宋_GB2312"/>
          <w:kern w:val="0"/>
          <w:sz w:val="24"/>
        </w:rPr>
        <w:t xml:space="preserve">           法定代表人：</w:t>
      </w:r>
      <w:r>
        <w:rPr>
          <w:rFonts w:hint="eastAsia" w:ascii="仿宋_GB2312" w:hAnsi="仿宋_GB2312" w:eastAsia="仿宋_GB2312" w:cs="仿宋_GB2312"/>
          <w:kern w:val="0"/>
          <w:sz w:val="24"/>
          <w:lang w:val="en-US" w:eastAsia="zh-CN"/>
        </w:rPr>
        <w:t xml:space="preserve">{{legalPerson1}}     </w:t>
      </w:r>
      <w:r>
        <w:rPr>
          <w:rFonts w:hint="eastAsia" w:ascii="仿宋_GB2312" w:hAnsi="仿宋_GB2312" w:eastAsia="仿宋_GB2312" w:cs="仿宋_GB2312"/>
          <w:kern w:val="0"/>
          <w:sz w:val="24"/>
        </w:rPr>
        <w:t>或委托代理人：</w:t>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rPr>
        <w:t>或委托代理人</w:t>
      </w:r>
      <w:r>
        <w:rPr>
          <w:rFonts w:hint="eastAsia" w:ascii="仿宋_GB2312" w:hAnsi="仿宋_GB2312" w:eastAsia="仿宋_GB2312" w:cs="仿宋_GB2312"/>
          <w:kern w:val="0"/>
          <w:sz w:val="24"/>
          <w:lang w:val="en-US" w:eastAsia="zh-CN"/>
        </w:rPr>
        <w:t>:{{entrustedAgent}}</w:t>
      </w:r>
    </w:p>
    <w:p w14:paraId="2746D2F1">
      <w:pPr>
        <w:spacing w:line="400" w:lineRule="exact"/>
        <w:rPr>
          <w:rFonts w:ascii="仿宋" w:hAnsi="仿宋" w:eastAsia="仿宋" w:cs="仿宋"/>
          <w:sz w:val="24"/>
        </w:rPr>
      </w:pPr>
      <w:r>
        <w:rPr>
          <w:rFonts w:hint="eastAsia" w:ascii="仿宋" w:hAnsi="仿宋" w:eastAsia="仿宋" w:cs="仿宋"/>
          <w:sz w:val="24"/>
        </w:rPr>
        <w:t>电话及传真：</w:t>
      </w:r>
      <w:r>
        <w:rPr>
          <w:rFonts w:hint="eastAsia" w:ascii="仿宋_GB2312" w:hAnsi="仿宋_GB2312" w:eastAsia="仿宋_GB2312" w:cs="仿宋_GB2312"/>
          <w:kern w:val="0"/>
          <w:sz w:val="24"/>
          <w:lang w:val="en-US" w:eastAsia="zh-CN"/>
        </w:rPr>
        <w:t>{{contactPhone}}</w:t>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lang w:val="en-US" w:eastAsia="zh-CN"/>
        </w:rPr>
        <w:tab/>
      </w:r>
      <w:r>
        <w:rPr>
          <w:rFonts w:hint="eastAsia" w:ascii="仿宋" w:hAnsi="仿宋" w:eastAsia="仿宋" w:cs="仿宋"/>
          <w:sz w:val="24"/>
        </w:rPr>
        <w:t>电话及传真：</w:t>
      </w:r>
      <w:r>
        <w:rPr>
          <w:rFonts w:hint="eastAsia" w:ascii="仿宋_GB2312" w:hAnsi="仿宋_GB2312" w:eastAsia="仿宋_GB2312" w:cs="仿宋_GB2312"/>
          <w:kern w:val="0"/>
          <w:sz w:val="24"/>
          <w:lang w:val="en-US" w:eastAsia="zh-CN"/>
        </w:rPr>
        <w:t>{{orgContact}}</w:t>
      </w:r>
    </w:p>
    <w:p w14:paraId="12DF02BD">
      <w:pPr>
        <w:spacing w:line="400" w:lineRule="exact"/>
        <w:ind w:left="4800" w:hanging="4800" w:hangingChars="2000"/>
        <w:rPr>
          <w:rFonts w:hint="eastAsia" w:ascii="仿宋" w:hAnsi="仿宋" w:eastAsia="仿宋" w:cs="仿宋"/>
          <w:sz w:val="24"/>
        </w:rPr>
      </w:pPr>
      <w:r>
        <w:rPr>
          <w:rFonts w:hint="eastAsia" w:ascii="仿宋" w:hAnsi="仿宋" w:eastAsia="仿宋" w:cs="仿宋"/>
          <w:sz w:val="24"/>
        </w:rPr>
        <w:t>开户银行：</w:t>
      </w:r>
      <w:r>
        <w:rPr>
          <w:rFonts w:hint="eastAsia" w:ascii="仿宋_GB2312" w:hAnsi="仿宋_GB2312" w:eastAsia="仿宋_GB2312" w:cs="仿宋_GB2312"/>
          <w:kern w:val="0"/>
          <w:sz w:val="24"/>
          <w:lang w:val="en-US" w:eastAsia="zh-CN"/>
        </w:rPr>
        <w:t>{{bankName}}</w:t>
      </w:r>
      <w:r>
        <w:rPr>
          <w:rFonts w:hint="eastAsia" w:ascii="仿宋_GB2312" w:hAnsi="仿宋_GB2312" w:eastAsia="仿宋_GB2312" w:cs="仿宋_GB2312"/>
          <w:kern w:val="0"/>
          <w:sz w:val="24"/>
          <w:lang w:val="en-US" w:eastAsia="zh-CN"/>
        </w:rPr>
        <w:tab/>
      </w:r>
      <w:r>
        <w:rPr>
          <w:rFonts w:hint="eastAsia" w:ascii="仿宋" w:hAnsi="仿宋" w:eastAsia="仿宋" w:cs="仿宋"/>
          <w:sz w:val="24"/>
        </w:rPr>
        <w:t>开户银行：</w:t>
      </w:r>
      <w:r>
        <w:rPr>
          <w:rFonts w:hint="eastAsia" w:ascii="仿宋_GB2312" w:hAnsi="仿宋_GB2312" w:eastAsia="仿宋_GB2312" w:cs="仿宋_GB2312"/>
          <w:kern w:val="0"/>
          <w:sz w:val="24"/>
          <w:lang w:val="en-US" w:eastAsia="zh-CN"/>
        </w:rPr>
        <w:t>{{orgBank}}</w:t>
      </w:r>
    </w:p>
    <w:p w14:paraId="1B458065">
      <w:pPr>
        <w:spacing w:line="400" w:lineRule="exact"/>
        <w:rPr>
          <w:rFonts w:hint="eastAsia" w:ascii="仿宋" w:hAnsi="仿宋" w:eastAsia="仿宋" w:cs="仿宋"/>
          <w:sz w:val="24"/>
        </w:rPr>
      </w:pPr>
      <w:r>
        <w:rPr>
          <w:rFonts w:hint="eastAsia" w:ascii="仿宋" w:hAnsi="仿宋" w:eastAsia="仿宋" w:cs="仿宋"/>
          <w:sz w:val="24"/>
        </w:rPr>
        <w:t xml:space="preserve">帐号： </w:t>
      </w:r>
      <w:r>
        <w:rPr>
          <w:rFonts w:hint="eastAsia" w:ascii="仿宋_GB2312" w:hAnsi="仿宋_GB2312" w:eastAsia="仿宋_GB2312" w:cs="仿宋_GB2312"/>
          <w:kern w:val="0"/>
          <w:sz w:val="24"/>
          <w:lang w:val="en-US" w:eastAsia="zh-CN"/>
        </w:rPr>
        <w:t>{{bankAccount}}</w:t>
      </w:r>
      <w:r>
        <w:rPr>
          <w:rFonts w:hint="eastAsia" w:ascii="仿宋" w:hAnsi="仿宋" w:eastAsia="仿宋" w:cs="仿宋"/>
          <w:sz w:val="24"/>
        </w:rPr>
        <w:t xml:space="preserve">                </w:t>
      </w:r>
      <w:r>
        <w:rPr>
          <w:rFonts w:hint="eastAsia" w:ascii="仿宋" w:hAnsi="仿宋" w:eastAsia="仿宋" w:cs="仿宋"/>
          <w:sz w:val="24"/>
          <w:lang w:val="en-US" w:eastAsia="zh-CN"/>
        </w:rPr>
        <w:tab/>
      </w:r>
      <w:r>
        <w:rPr>
          <w:rFonts w:hint="eastAsia" w:ascii="仿宋" w:hAnsi="仿宋" w:eastAsia="仿宋" w:cs="仿宋"/>
          <w:sz w:val="24"/>
        </w:rPr>
        <w:t>帐号：</w:t>
      </w:r>
      <w:r>
        <w:rPr>
          <w:rFonts w:hint="eastAsia" w:ascii="仿宋_GB2312" w:hAnsi="仿宋_GB2312" w:eastAsia="仿宋_GB2312" w:cs="仿宋_GB2312"/>
          <w:kern w:val="0"/>
          <w:sz w:val="24"/>
          <w:lang w:val="en-US" w:eastAsia="zh-CN"/>
        </w:rPr>
        <w:t>{{orgBankAccount}}</w:t>
      </w:r>
    </w:p>
    <w:p w14:paraId="548614FC">
      <w:pPr>
        <w:widowControl/>
        <w:spacing w:line="400" w:lineRule="exact"/>
        <w:ind w:left="720" w:hanging="720" w:hangingChars="300"/>
        <w:rPr>
          <w:rFonts w:hint="eastAsia" w:ascii="仿宋" w:hAnsi="仿宋" w:eastAsia="仿宋" w:cs="仿宋"/>
          <w:kern w:val="0"/>
          <w:sz w:val="24"/>
        </w:rPr>
      </w:pPr>
      <w:r>
        <w:rPr>
          <w:rFonts w:hint="eastAsia" w:ascii="仿宋" w:hAnsi="仿宋" w:eastAsia="仿宋" w:cs="仿宋"/>
          <w:kern w:val="0"/>
          <w:sz w:val="24"/>
        </w:rPr>
        <w:t>签约日期：</w:t>
      </w:r>
      <w:r>
        <w:rPr>
          <w:rFonts w:hint="eastAsia" w:ascii="仿宋_GB2312" w:hAnsi="仿宋_GB2312" w:eastAsia="仿宋_GB2312" w:cs="仿宋_GB2312"/>
          <w:kern w:val="0"/>
          <w:sz w:val="24"/>
          <w:lang w:val="en-US" w:eastAsia="zh-CN"/>
        </w:rPr>
        <w:t>{{signDateYMD}}</w:t>
      </w:r>
      <w:r>
        <w:rPr>
          <w:rFonts w:hint="eastAsia" w:ascii="仿宋" w:hAnsi="仿宋" w:eastAsia="仿宋" w:cs="仿宋"/>
          <w:kern w:val="0"/>
          <w:sz w:val="24"/>
          <w:lang w:val="en-US" w:eastAsia="zh-CN"/>
        </w:rPr>
        <w:tab/>
      </w:r>
      <w:r>
        <w:rPr>
          <w:rFonts w:hint="eastAsia" w:ascii="仿宋" w:hAnsi="仿宋" w:eastAsia="仿宋" w:cs="仿宋"/>
          <w:kern w:val="0"/>
          <w:sz w:val="24"/>
          <w:lang w:val="en-US" w:eastAsia="zh-CN"/>
        </w:rPr>
        <w:tab/>
      </w:r>
      <w:r>
        <w:rPr>
          <w:rFonts w:hint="eastAsia" w:ascii="仿宋" w:hAnsi="仿宋" w:eastAsia="仿宋" w:cs="仿宋"/>
          <w:kern w:val="0"/>
          <w:sz w:val="24"/>
          <w:lang w:val="en-US" w:eastAsia="zh-CN"/>
        </w:rPr>
        <w:tab/>
      </w:r>
      <w:r>
        <w:rPr>
          <w:rFonts w:hint="eastAsia" w:ascii="仿宋" w:hAnsi="仿宋" w:eastAsia="仿宋" w:cs="仿宋"/>
          <w:kern w:val="0"/>
          <w:sz w:val="24"/>
          <w:lang w:val="en-US" w:eastAsia="zh-CN"/>
        </w:rPr>
        <w:tab/>
      </w:r>
      <w:r>
        <w:rPr>
          <w:rFonts w:hint="eastAsia" w:ascii="仿宋" w:hAnsi="仿宋" w:eastAsia="仿宋" w:cs="仿宋"/>
          <w:kern w:val="0"/>
          <w:sz w:val="24"/>
        </w:rPr>
        <w:t>签约日期：</w:t>
      </w:r>
      <w:r>
        <w:rPr>
          <w:rFonts w:hint="eastAsia" w:ascii="仿宋_GB2312" w:hAnsi="仿宋_GB2312" w:eastAsia="仿宋_GB2312" w:cs="仿宋_GB2312"/>
          <w:kern w:val="0"/>
          <w:sz w:val="24"/>
          <w:lang w:val="en-US" w:eastAsia="zh-CN"/>
        </w:rPr>
        <w:t>{{signDateYMD}}</w:t>
      </w:r>
    </w:p>
    <w:p w14:paraId="5E957562">
      <w:pPr>
        <w:widowControl/>
        <w:shd w:val="clear" w:color="auto" w:fill="FFFFFF"/>
        <w:spacing w:line="360" w:lineRule="atLeast"/>
        <w:ind w:left="839" w:hanging="839"/>
        <w:rPr>
          <w:rFonts w:hint="eastAsia" w:ascii="仿宋_GB2312" w:hAnsi="仿宋_GB2312" w:eastAsia="仿宋_GB2312" w:cs="仿宋_GB2312"/>
          <w:sz w:val="32"/>
          <w:szCs w:val="32"/>
        </w:rPr>
      </w:pPr>
      <w:r>
        <w:rPr>
          <w:rFonts w:hint="eastAsia" w:ascii="仿宋_GB2312" w:hAnsi="仿宋_GB2312" w:eastAsia="仿宋_GB2312" w:cs="仿宋_GB2312"/>
          <w:kern w:val="0"/>
          <w:sz w:val="28"/>
          <w:szCs w:val="28"/>
        </w:rPr>
        <w:t xml:space="preserve">     </w:t>
      </w:r>
    </w:p>
    <w:p w14:paraId="10612220"/>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E68C3F3">
    <w:panose1 w:val="020B0304030504040204"/>
    <w:charset w:val="88"/>
    <w:family w:val="auto"/>
    <w:pitch w:val="default"/>
    <w:sig w:usb0="00000001" w:usb1="00000000"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2A7C5">
    <w:pPr>
      <w:pStyle w:val="5"/>
      <w:ind w:firstLine="4950" w:firstLineChars="2750"/>
    </w:pPr>
    <w:r>
      <w:fldChar w:fldCharType="begin"/>
    </w:r>
    <w:r>
      <w:instrText xml:space="preserve"> PAGE   \* MERGEFORMAT </w:instrText>
    </w:r>
    <w:r>
      <w:fldChar w:fldCharType="separate"/>
    </w:r>
    <w:r>
      <w:rPr>
        <w:lang w:val="zh-CN"/>
      </w:rPr>
      <w:t>1</w:t>
    </w:r>
    <w:r>
      <w:fldChar w:fldCharType="end"/>
    </w:r>
  </w:p>
  <w:p w14:paraId="7FCECC63">
    <w:pPr>
      <w:pStyle w:val="5"/>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3C63D">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90D3C"/>
    <w:multiLevelType w:val="singleLevel"/>
    <w:tmpl w:val="0C290D3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C25C90"/>
    <w:rsid w:val="001B4ED4"/>
    <w:rsid w:val="00C85E14"/>
    <w:rsid w:val="01A82B08"/>
    <w:rsid w:val="03547F3F"/>
    <w:rsid w:val="04664248"/>
    <w:rsid w:val="049656E9"/>
    <w:rsid w:val="06A27C5F"/>
    <w:rsid w:val="07F910B5"/>
    <w:rsid w:val="0A43206A"/>
    <w:rsid w:val="0B051F8B"/>
    <w:rsid w:val="0BE1433A"/>
    <w:rsid w:val="0D0A6658"/>
    <w:rsid w:val="0DEE0B78"/>
    <w:rsid w:val="0E6159DB"/>
    <w:rsid w:val="0F0324B0"/>
    <w:rsid w:val="0F7D4F57"/>
    <w:rsid w:val="0F8676D2"/>
    <w:rsid w:val="10F863AD"/>
    <w:rsid w:val="12D544CC"/>
    <w:rsid w:val="13BB7B66"/>
    <w:rsid w:val="16A3369E"/>
    <w:rsid w:val="16A82624"/>
    <w:rsid w:val="171E4694"/>
    <w:rsid w:val="185760AF"/>
    <w:rsid w:val="1BA01B1B"/>
    <w:rsid w:val="1BB47375"/>
    <w:rsid w:val="1BB97466"/>
    <w:rsid w:val="1D2A4282"/>
    <w:rsid w:val="1E5135A1"/>
    <w:rsid w:val="1EF1155B"/>
    <w:rsid w:val="1FDF7A7A"/>
    <w:rsid w:val="1FF00B97"/>
    <w:rsid w:val="211F1DE5"/>
    <w:rsid w:val="216223A1"/>
    <w:rsid w:val="21867A05"/>
    <w:rsid w:val="21A54412"/>
    <w:rsid w:val="22387BD6"/>
    <w:rsid w:val="224B0307"/>
    <w:rsid w:val="23B02B18"/>
    <w:rsid w:val="24DC42D0"/>
    <w:rsid w:val="25916979"/>
    <w:rsid w:val="261C4494"/>
    <w:rsid w:val="275A389E"/>
    <w:rsid w:val="285E41F2"/>
    <w:rsid w:val="299E5F05"/>
    <w:rsid w:val="2A7823B1"/>
    <w:rsid w:val="2D173C07"/>
    <w:rsid w:val="2E9A56FF"/>
    <w:rsid w:val="2FAB1145"/>
    <w:rsid w:val="30D047F9"/>
    <w:rsid w:val="31215055"/>
    <w:rsid w:val="312D3997"/>
    <w:rsid w:val="322A42F6"/>
    <w:rsid w:val="32A0644D"/>
    <w:rsid w:val="356D58BD"/>
    <w:rsid w:val="35F9142B"/>
    <w:rsid w:val="36D60F0C"/>
    <w:rsid w:val="37411FAD"/>
    <w:rsid w:val="389C276F"/>
    <w:rsid w:val="390E5AFD"/>
    <w:rsid w:val="3A4F0AA8"/>
    <w:rsid w:val="3B7B77D4"/>
    <w:rsid w:val="3BAD4795"/>
    <w:rsid w:val="3C795D45"/>
    <w:rsid w:val="3D8726E3"/>
    <w:rsid w:val="3DC6320C"/>
    <w:rsid w:val="3DE418E4"/>
    <w:rsid w:val="3F3D6EB7"/>
    <w:rsid w:val="411E63F4"/>
    <w:rsid w:val="42D261AF"/>
    <w:rsid w:val="460A70E4"/>
    <w:rsid w:val="49942410"/>
    <w:rsid w:val="4A881849"/>
    <w:rsid w:val="4C1E2ED1"/>
    <w:rsid w:val="4D6F1473"/>
    <w:rsid w:val="4DC25C90"/>
    <w:rsid w:val="4DCA2277"/>
    <w:rsid w:val="4E50267E"/>
    <w:rsid w:val="4EBC4C79"/>
    <w:rsid w:val="4F0040A4"/>
    <w:rsid w:val="51BF066F"/>
    <w:rsid w:val="54FE1085"/>
    <w:rsid w:val="558A0B6B"/>
    <w:rsid w:val="59367040"/>
    <w:rsid w:val="59D40607"/>
    <w:rsid w:val="5C205D85"/>
    <w:rsid w:val="5C9C16E8"/>
    <w:rsid w:val="5CB14C2F"/>
    <w:rsid w:val="5D423AD9"/>
    <w:rsid w:val="5DBC133B"/>
    <w:rsid w:val="5DBD7D40"/>
    <w:rsid w:val="5F2C0A5F"/>
    <w:rsid w:val="5F746BE2"/>
    <w:rsid w:val="664D5A4C"/>
    <w:rsid w:val="674C5C80"/>
    <w:rsid w:val="67784CC7"/>
    <w:rsid w:val="679B3E81"/>
    <w:rsid w:val="679F6FA7"/>
    <w:rsid w:val="68A6612F"/>
    <w:rsid w:val="69690D6B"/>
    <w:rsid w:val="6CF57388"/>
    <w:rsid w:val="6ED924EF"/>
    <w:rsid w:val="706E4EB9"/>
    <w:rsid w:val="70D25721"/>
    <w:rsid w:val="725A3947"/>
    <w:rsid w:val="73357F10"/>
    <w:rsid w:val="739E5D04"/>
    <w:rsid w:val="75483F2B"/>
    <w:rsid w:val="759642ED"/>
    <w:rsid w:val="771E5B8F"/>
    <w:rsid w:val="786D1E64"/>
    <w:rsid w:val="792F10D2"/>
    <w:rsid w:val="7AA96F13"/>
    <w:rsid w:val="7AE62F8C"/>
    <w:rsid w:val="7AF745AA"/>
    <w:rsid w:val="7B4301E0"/>
    <w:rsid w:val="7BFE423E"/>
    <w:rsid w:val="7D474AC8"/>
    <w:rsid w:val="7DAE3C63"/>
    <w:rsid w:val="7F1E3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0"/>
    </w:rPr>
  </w:style>
  <w:style w:type="paragraph" w:styleId="3">
    <w:name w:val="Plain Text"/>
    <w:basedOn w:val="1"/>
    <w:qFormat/>
    <w:uiPriority w:val="0"/>
    <w:rPr>
      <w:rFonts w:ascii="宋体" w:cs="宋体"/>
    </w:rPr>
  </w:style>
  <w:style w:type="paragraph" w:styleId="4">
    <w:name w:val="Balloon Text"/>
    <w:basedOn w:val="1"/>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5746</Words>
  <Characters>6205</Characters>
  <Lines>0</Lines>
  <Paragraphs>0</Paragraphs>
  <TotalTime>2</TotalTime>
  <ScaleCrop>false</ScaleCrop>
  <LinksUpToDate>false</LinksUpToDate>
  <CharactersWithSpaces>6381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2026-05-21T06:28:00Z</dcterms:created>
  <dc:creator>SYT</dc:creator>
  <cp:lastModifiedBy>SYT</cp:lastModifiedBy>
  <dcterms:modified xsi:type="dcterms:W3CDTF">2026-05-28T06:38:18Z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B92FE37012104DA08E94A714131584BC_11</vt:lpwstr>
  </property>
  <property fmtid="{D5CDD505-2E9C-101B-9397-08002B2CF9AE}" pid="4" name="KSOTemplateDocerSaveRecord">
    <vt:lpwstr>eyJoZGlkIjoiMTNmNTI2MzNlNTUwZmY1OTY4ZjEzNWNhNTcxYTVmMzUiLCJ1c2VySWQiOiIxMTI5MjgwNDA5In0=</vt:lpwstr>
  </property>
</Properties>
</file>