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3FC70">
      <w:pPr>
        <w:spacing w:line="340" w:lineRule="exact"/>
        <w:jc w:val="center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  <w:spacing w:val="40"/>
          <w:sz w:val="32"/>
        </w:rPr>
        <w:t>工 业 品 买 卖 合 同</w:t>
      </w:r>
    </w:p>
    <w:p w14:paraId="17133BA9">
      <w:pPr>
        <w:spacing w:line="40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>出卖人：</w:t>
      </w:r>
      <w:r>
        <w:rPr>
          <w:rFonts w:hint="eastAsia" w:ascii="宋体" w:hAnsi="宋体"/>
          <w:b/>
          <w:bCs/>
          <w:u w:val="single"/>
        </w:rPr>
        <w:t xml:space="preserve"> {{</w:t>
      </w:r>
      <w:r>
        <w:rPr>
          <w:rFonts w:hint="eastAsia" w:ascii="宋体" w:hAnsi="宋体"/>
          <w:b/>
          <w:bCs/>
          <w:u w:val="single"/>
          <w:lang w:val="en-US" w:eastAsia="zh-CN"/>
        </w:rPr>
        <w:t>partyB</w:t>
      </w:r>
      <w:r>
        <w:rPr>
          <w:rFonts w:hint="eastAsia" w:ascii="宋体" w:hAnsi="宋体"/>
          <w:b/>
          <w:bCs/>
          <w:u w:val="single"/>
        </w:rPr>
        <w:t xml:space="preserve">}}  </w:t>
      </w:r>
      <w:r>
        <w:rPr>
          <w:rFonts w:hint="eastAsia" w:ascii="宋体" w:hAnsi="宋体"/>
          <w:b/>
          <w:bCs/>
        </w:rPr>
        <w:t xml:space="preserve">                          合同编号：</w:t>
      </w:r>
      <w:r>
        <w:rPr>
          <w:rFonts w:hint="eastAsia" w:ascii="宋体" w:hAnsi="宋体"/>
          <w:b/>
          <w:bCs/>
          <w:u w:val="single"/>
        </w:rPr>
        <w:t xml:space="preserve"> {{</w:t>
      </w:r>
      <w:r>
        <w:rPr>
          <w:rFonts w:hint="eastAsia" w:ascii="宋体" w:hAnsi="宋体"/>
          <w:b/>
          <w:bCs/>
          <w:u w:val="single"/>
          <w:lang w:val="en-US" w:eastAsia="zh-CN"/>
        </w:rPr>
        <w:t>contractNo</w:t>
      </w:r>
      <w:r>
        <w:rPr>
          <w:rFonts w:hint="eastAsia" w:ascii="宋体" w:hAnsi="宋体"/>
          <w:b/>
          <w:bCs/>
          <w:u w:val="single"/>
        </w:rPr>
        <w:t xml:space="preserve">}} </w:t>
      </w:r>
    </w:p>
    <w:p w14:paraId="0269D2B8">
      <w:pPr>
        <w:tabs>
          <w:tab w:val="left" w:pos="10980"/>
        </w:tabs>
        <w:spacing w:line="40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>买受人</w:t>
      </w:r>
      <w:r>
        <w:rPr>
          <w:rFonts w:ascii="宋体" w:hAnsi="宋体"/>
          <w:b/>
          <w:bCs/>
        </w:rPr>
        <w:t>:</w:t>
      </w:r>
      <w:r>
        <w:rPr>
          <w:rFonts w:hint="eastAsia" w:ascii="宋体" w:hAnsi="宋体"/>
          <w:b/>
          <w:bCs/>
          <w:u w:val="single"/>
        </w:rPr>
        <w:t xml:space="preserve">  {{partyA}}   </w:t>
      </w:r>
      <w:r>
        <w:rPr>
          <w:rFonts w:hint="eastAsia" w:ascii="宋体" w:hAnsi="宋体"/>
          <w:b/>
          <w:bCs/>
        </w:rPr>
        <w:t xml:space="preserve">                         </w:t>
      </w:r>
      <w:bookmarkStart w:id="0" w:name="_GoBack"/>
      <w:bookmarkEnd w:id="0"/>
      <w:r>
        <w:rPr>
          <w:rFonts w:hint="eastAsia" w:ascii="宋体" w:hAnsi="宋体"/>
          <w:b/>
          <w:bCs/>
        </w:rPr>
        <w:t>签定地点：</w:t>
      </w:r>
      <w:r>
        <w:rPr>
          <w:rFonts w:hint="eastAsia" w:ascii="宋体" w:hAnsi="宋体"/>
          <w:b/>
          <w:bCs/>
          <w:u w:val="single"/>
        </w:rPr>
        <w:t xml:space="preserve"> {{signPlace}}  </w:t>
      </w:r>
    </w:p>
    <w:p w14:paraId="3589F7DF">
      <w:pPr>
        <w:tabs>
          <w:tab w:val="left" w:pos="10980"/>
        </w:tabs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第一条  标的、数量、价款及备注</w:t>
      </w:r>
      <w:r>
        <w:rPr>
          <w:rFonts w:hint="eastAsia" w:ascii="宋体" w:hAnsi="宋体"/>
          <w:b/>
          <w:bCs/>
        </w:rPr>
        <w:t xml:space="preserve">                                 签定时间：{{signDate}} </w:t>
      </w:r>
    </w:p>
    <w:tbl>
      <w:tblPr>
        <w:tblStyle w:val="10"/>
        <w:tblW w:w="9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2279"/>
        <w:gridCol w:w="710"/>
        <w:gridCol w:w="650"/>
        <w:gridCol w:w="1170"/>
        <w:gridCol w:w="1410"/>
        <w:gridCol w:w="1546"/>
      </w:tblGrid>
      <w:tr w14:paraId="02A21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080" w:type="dxa"/>
            <w:tcBorders>
              <w:bottom w:val="single" w:color="auto" w:sz="4" w:space="0"/>
            </w:tcBorders>
            <w:vAlign w:val="center"/>
          </w:tcPr>
          <w:p w14:paraId="393CF74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标的名称</w:t>
            </w:r>
          </w:p>
        </w:tc>
        <w:tc>
          <w:tcPr>
            <w:tcW w:w="2279" w:type="dxa"/>
            <w:tcBorders>
              <w:bottom w:val="single" w:color="auto" w:sz="4" w:space="0"/>
            </w:tcBorders>
            <w:vAlign w:val="center"/>
          </w:tcPr>
          <w:p w14:paraId="052A130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规格型号</w:t>
            </w:r>
          </w:p>
        </w:tc>
        <w:tc>
          <w:tcPr>
            <w:tcW w:w="710" w:type="dxa"/>
            <w:tcBorders>
              <w:bottom w:val="single" w:color="auto" w:sz="4" w:space="0"/>
            </w:tcBorders>
            <w:vAlign w:val="center"/>
          </w:tcPr>
          <w:p w14:paraId="142D663F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计量单位</w:t>
            </w:r>
          </w:p>
        </w:tc>
        <w:tc>
          <w:tcPr>
            <w:tcW w:w="650" w:type="dxa"/>
            <w:tcBorders>
              <w:bottom w:val="single" w:color="auto" w:sz="4" w:space="0"/>
            </w:tcBorders>
            <w:vAlign w:val="center"/>
          </w:tcPr>
          <w:p w14:paraId="5BB673E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vAlign w:val="center"/>
          </w:tcPr>
          <w:p w14:paraId="69A5BE5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含税单价（元）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 w14:paraId="35A7522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含税金额（元）</w:t>
            </w:r>
          </w:p>
        </w:tc>
        <w:tc>
          <w:tcPr>
            <w:tcW w:w="1546" w:type="dxa"/>
            <w:tcBorders>
              <w:bottom w:val="single" w:color="auto" w:sz="4" w:space="0"/>
            </w:tcBorders>
            <w:vAlign w:val="center"/>
          </w:tcPr>
          <w:p w14:paraId="7CEEB597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 w14:paraId="6BBC9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exact"/>
          <w:jc w:val="center"/>
        </w:trPr>
        <w:tc>
          <w:tcPr>
            <w:tcW w:w="2080" w:type="dxa"/>
            <w:tcBorders>
              <w:left w:val="nil"/>
              <w:bottom w:val="nil"/>
              <w:right w:val="nil"/>
            </w:tcBorders>
            <w:vAlign w:val="center"/>
          </w:tcPr>
          <w:p w14:paraId="04B26225">
            <w:pPr>
              <w:pStyle w:val="9"/>
              <w:ind w:left="0" w:lef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{{items}}</w:t>
            </w:r>
          </w:p>
        </w:tc>
        <w:tc>
          <w:tcPr>
            <w:tcW w:w="2279" w:type="dxa"/>
            <w:tcBorders>
              <w:left w:val="nil"/>
              <w:bottom w:val="nil"/>
              <w:right w:val="nil"/>
            </w:tcBorders>
            <w:vAlign w:val="center"/>
          </w:tcPr>
          <w:p w14:paraId="7940A35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vAlign w:val="center"/>
          </w:tcPr>
          <w:p w14:paraId="5DCD9E4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650" w:type="dxa"/>
            <w:tcBorders>
              <w:left w:val="nil"/>
              <w:bottom w:val="nil"/>
              <w:right w:val="nil"/>
            </w:tcBorders>
            <w:vAlign w:val="center"/>
          </w:tcPr>
          <w:p w14:paraId="00D22572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1E52E57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  <w:vAlign w:val="center"/>
          </w:tcPr>
          <w:p w14:paraId="529695E8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546" w:type="dxa"/>
            <w:tcBorders>
              <w:left w:val="nil"/>
              <w:bottom w:val="nil"/>
              <w:right w:val="nil"/>
            </w:tcBorders>
            <w:vAlign w:val="center"/>
          </w:tcPr>
          <w:p w14:paraId="6E83216F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000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2080" w:type="dxa"/>
            <w:tcBorders>
              <w:top w:val="nil"/>
            </w:tcBorders>
            <w:vAlign w:val="center"/>
          </w:tcPr>
          <w:p w14:paraId="258C1382">
            <w:pPr>
              <w:jc w:val="center"/>
            </w:pPr>
            <w:r>
              <w:rPr>
                <w:rFonts w:hint="eastAsia" w:ascii="宋体" w:hAnsi="宋体"/>
                <w:sz w:val="24"/>
              </w:rPr>
              <w:t>[materialName]</w:t>
            </w:r>
          </w:p>
        </w:tc>
        <w:tc>
          <w:tcPr>
            <w:tcW w:w="2279" w:type="dxa"/>
            <w:tcBorders>
              <w:top w:val="nil"/>
            </w:tcBorders>
            <w:vAlign w:val="center"/>
          </w:tcPr>
          <w:p w14:paraId="5D8064D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sz w:val="24"/>
              </w:rPr>
              <w:t>[guige]</w:t>
            </w:r>
          </w:p>
        </w:tc>
        <w:tc>
          <w:tcPr>
            <w:tcW w:w="710" w:type="dxa"/>
            <w:tcBorders>
              <w:top w:val="nil"/>
            </w:tcBorders>
            <w:vAlign w:val="center"/>
          </w:tcPr>
          <w:p w14:paraId="414F6F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[unit]</w:t>
            </w:r>
          </w:p>
        </w:tc>
        <w:tc>
          <w:tcPr>
            <w:tcW w:w="650" w:type="dxa"/>
            <w:tcBorders>
              <w:top w:val="nil"/>
            </w:tcBorders>
            <w:vAlign w:val="center"/>
          </w:tcPr>
          <w:p w14:paraId="69AF54AD">
            <w:pPr>
              <w:ind w:right="90" w:right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[quantity]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1DB23E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[unitPrice]</w:t>
            </w:r>
          </w:p>
        </w:tc>
        <w:tc>
          <w:tcPr>
            <w:tcW w:w="1410" w:type="dxa"/>
            <w:tcBorders>
              <w:top w:val="nil"/>
            </w:tcBorders>
            <w:vAlign w:val="center"/>
          </w:tcPr>
          <w:p w14:paraId="78F84023">
            <w:pPr>
              <w:ind w:right="630" w:rightChars="0" w:firstLine="120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[price]</w:t>
            </w:r>
          </w:p>
        </w:tc>
        <w:tc>
          <w:tcPr>
            <w:tcW w:w="1546" w:type="dxa"/>
            <w:tcBorders>
              <w:top w:val="nil"/>
            </w:tcBorders>
            <w:shd w:val="clear" w:color="auto" w:fill="auto"/>
            <w:vAlign w:val="center"/>
          </w:tcPr>
          <w:p w14:paraId="788D8E0E">
            <w:pPr>
              <w:ind w:right="630" w:rightChars="0" w:firstLine="120" w:firstLineChars="50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[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remarks</w:t>
            </w:r>
            <w:r>
              <w:rPr>
                <w:rFonts w:hint="eastAsia" w:ascii="宋体" w:hAnsi="宋体"/>
                <w:sz w:val="24"/>
              </w:rPr>
              <w:t>]</w:t>
            </w:r>
          </w:p>
        </w:tc>
      </w:tr>
      <w:tr w14:paraId="01D3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9845" w:type="dxa"/>
            <w:gridSpan w:val="7"/>
            <w:vAlign w:val="center"/>
          </w:tcPr>
          <w:p w14:paraId="4E08CA15">
            <w:pPr>
              <w:tabs>
                <w:tab w:val="left" w:pos="396"/>
              </w:tabs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不含税金额合计（小写）：{{total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NoTax</w:t>
            </w:r>
            <w:r>
              <w:rPr>
                <w:rFonts w:hint="eastAsia" w:ascii="宋体" w:hAnsi="宋体"/>
                <w:szCs w:val="21"/>
              </w:rPr>
              <w:t>}}元                     合计（小写）：{{total}}元（含13%增值税）</w:t>
            </w:r>
          </w:p>
        </w:tc>
      </w:tr>
      <w:tr w14:paraId="5CA0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9845" w:type="dxa"/>
            <w:gridSpan w:val="7"/>
            <w:vAlign w:val="center"/>
          </w:tcPr>
          <w:p w14:paraId="063CC7F2">
            <w:pPr>
              <w:tabs>
                <w:tab w:val="left" w:pos="396"/>
              </w:tabs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合计人民币金额（大写）：{{amountWords}}（含13%增值税）</w:t>
            </w:r>
          </w:p>
        </w:tc>
      </w:tr>
    </w:tbl>
    <w:p w14:paraId="6717CFEC">
      <w:pPr>
        <w:spacing w:line="400" w:lineRule="exact"/>
        <w:rPr>
          <w:rFonts w:ascii="宋体" w:hAnsi="宋体"/>
          <w:u w:val="single"/>
        </w:rPr>
      </w:pPr>
      <w:r>
        <w:rPr>
          <w:rFonts w:hint="eastAsia" w:ascii="宋体" w:hAnsi="宋体"/>
        </w:rPr>
        <w:t>第二条  质量标准：</w:t>
      </w:r>
      <w:r>
        <w:rPr>
          <w:rFonts w:hint="eastAsia" w:ascii="宋体" w:hAnsi="宋体"/>
          <w:u w:val="single"/>
        </w:rPr>
        <w:t xml:space="preserve"> 执行GB2597.4                                                                                                   </w:t>
      </w:r>
    </w:p>
    <w:p w14:paraId="001396A6">
      <w:pPr>
        <w:numPr>
          <w:ilvl w:val="0"/>
          <w:numId w:val="1"/>
        </w:numPr>
        <w:spacing w:line="400" w:lineRule="exact"/>
        <w:rPr>
          <w:rFonts w:ascii="宋体" w:hAnsi="宋体"/>
          <w:u w:val="single"/>
        </w:rPr>
      </w:pPr>
      <w:r>
        <w:rPr>
          <w:rFonts w:hint="eastAsia" w:ascii="宋体" w:hAnsi="宋体"/>
        </w:rPr>
        <w:t>出卖人对质量负责的条件及期限：</w:t>
      </w:r>
      <w:r>
        <w:rPr>
          <w:rFonts w:hint="eastAsia" w:ascii="宋体" w:hAnsi="宋体"/>
          <w:u w:val="single"/>
        </w:rPr>
        <w:t xml:space="preserve"> 符合产品质量的强制性国家标准、行业标准。                                                                                 </w:t>
      </w:r>
    </w:p>
    <w:p w14:paraId="0706B4C9">
      <w:pPr>
        <w:numPr>
          <w:ilvl w:val="0"/>
          <w:numId w:val="1"/>
        </w:num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包装标准、包装物的供应与回收：</w:t>
      </w:r>
      <w:r>
        <w:rPr>
          <w:rFonts w:hint="eastAsia" w:ascii="宋体" w:hAnsi="宋体"/>
          <w:u w:val="single"/>
        </w:rPr>
        <w:t xml:space="preserve"> 简易包装，不回收                                                                     </w:t>
      </w:r>
    </w:p>
    <w:p w14:paraId="1320C130">
      <w:pPr>
        <w:numPr>
          <w:ilvl w:val="0"/>
          <w:numId w:val="1"/>
        </w:numPr>
        <w:spacing w:line="400" w:lineRule="exact"/>
        <w:rPr>
          <w:rFonts w:ascii="宋体" w:hAnsi="宋体"/>
          <w:u w:val="single"/>
        </w:rPr>
      </w:pPr>
      <w:r>
        <w:rPr>
          <w:rFonts w:hint="eastAsia" w:ascii="宋体" w:hAnsi="宋体"/>
        </w:rPr>
        <w:t>随机的必备品、配件、工具数量及供应办法: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  <w:lang w:val="en-US" w:eastAsia="zh-CN"/>
        </w:rPr>
        <w:t>按照技术协议执行</w:t>
      </w:r>
      <w:r>
        <w:rPr>
          <w:rFonts w:hint="eastAsia" w:ascii="宋体" w:hAnsi="宋体"/>
          <w:u w:val="single"/>
        </w:rPr>
        <w:t xml:space="preserve">                                                                   </w:t>
      </w:r>
    </w:p>
    <w:p w14:paraId="214D1CBE">
      <w:pPr>
        <w:numPr>
          <w:ilvl w:val="0"/>
          <w:numId w:val="1"/>
        </w:numPr>
        <w:spacing w:line="400" w:lineRule="exact"/>
        <w:rPr>
          <w:rFonts w:ascii="宋体" w:hAnsi="宋体"/>
          <w:u w:val="single"/>
        </w:rPr>
      </w:pPr>
      <w:r>
        <w:rPr>
          <w:rFonts w:hint="eastAsia" w:ascii="宋体" w:hAnsi="宋体"/>
        </w:rPr>
        <w:t>合理损耗标准及计算方法：</w:t>
      </w:r>
      <w:r>
        <w:rPr>
          <w:rFonts w:hint="eastAsia" w:ascii="宋体" w:hAnsi="宋体"/>
          <w:u w:val="single"/>
        </w:rPr>
        <w:t xml:space="preserve"> 无                                                                                  </w:t>
      </w:r>
    </w:p>
    <w:p w14:paraId="71BC1445">
      <w:pPr>
        <w:numPr>
          <w:ilvl w:val="0"/>
          <w:numId w:val="1"/>
        </w:num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标的物所有权自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  <w:lang w:val="en-US" w:eastAsia="zh-CN"/>
        </w:rPr>
        <w:t>交付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</w:rPr>
        <w:t>时起转移,但买受人未履行支付价款义务的,标的物属于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  <w:lang w:val="en-US" w:eastAsia="zh-CN"/>
        </w:rPr>
        <w:t>出卖人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</w:rPr>
        <w:t>所有，买受人应尽到保管、维护责任。</w:t>
      </w:r>
    </w:p>
    <w:p w14:paraId="669B5A66">
      <w:pPr>
        <w:numPr>
          <w:ilvl w:val="0"/>
          <w:numId w:val="1"/>
        </w:numPr>
        <w:spacing w:line="400" w:lineRule="exact"/>
        <w:rPr>
          <w:rFonts w:ascii="宋体" w:hAnsi="宋体"/>
          <w:u w:val="single"/>
        </w:rPr>
      </w:pPr>
      <w:r>
        <w:rPr>
          <w:rFonts w:hint="eastAsia" w:ascii="宋体" w:hAnsi="宋体"/>
        </w:rPr>
        <w:t>交(提)货方式、地点：</w:t>
      </w:r>
      <w:r>
        <w:rPr>
          <w:rFonts w:hint="eastAsia" w:ascii="宋体" w:hAnsi="宋体"/>
          <w:u w:val="single"/>
        </w:rPr>
        <w:t xml:space="preserve"> 按买受人指定地点交货。                                                               </w:t>
      </w:r>
    </w:p>
    <w:p w14:paraId="1050432C">
      <w:pPr>
        <w:numPr>
          <w:ilvl w:val="0"/>
          <w:numId w:val="0"/>
        </w:numPr>
        <w:spacing w:line="400" w:lineRule="exact"/>
        <w:ind w:leftChars="0"/>
        <w:rPr>
          <w:rFonts w:ascii="宋体" w:hAnsi="宋体"/>
          <w:u w:val="single"/>
        </w:rPr>
      </w:pPr>
      <w:r>
        <w:rPr>
          <w:rFonts w:hint="eastAsia" w:ascii="宋体" w:hAnsi="宋体"/>
        </w:rPr>
        <w:t>第九条  运输方式及到达站(港)和费用负担：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  <w:lang w:val="en-US" w:eastAsia="zh-CN"/>
        </w:rPr>
        <w:t>一切运杂费由出卖人承担。</w:t>
      </w:r>
      <w:r>
        <w:rPr>
          <w:rFonts w:hint="eastAsia" w:ascii="宋体" w:hAnsi="宋体"/>
          <w:u w:val="single"/>
        </w:rPr>
        <w:t xml:space="preserve">                                           </w:t>
      </w:r>
      <w:r>
        <w:rPr>
          <w:rFonts w:hint="eastAsia" w:ascii="宋体" w:hAnsi="宋体"/>
          <w:u w:val="single"/>
          <w:lang w:val="en-US" w:eastAsia="zh-CN"/>
        </w:rPr>
        <w:t xml:space="preserve">        </w:t>
      </w:r>
    </w:p>
    <w:p w14:paraId="000EB0E8">
      <w:pPr>
        <w:spacing w:line="400" w:lineRule="exact"/>
        <w:ind w:left="945" w:hanging="945" w:hangingChars="45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</w:rPr>
        <w:t>第十条  检验标准、方法、地点及期限：</w:t>
      </w:r>
      <w:r>
        <w:rPr>
          <w:rFonts w:hint="eastAsia" w:ascii="宋体" w:hAnsi="宋体"/>
          <w:u w:val="single"/>
        </w:rPr>
        <w:t>按照招标、比价或技术协议执行，未注明验收标准的按照国标或行业标准执行，同时有多个标准的按高标准执行。异议期自到货后30日内提出（材料性物资送货前一天通知甲方，设备出厂前20天通知甲方组织验收）</w:t>
      </w:r>
      <w:r>
        <w:rPr>
          <w:rFonts w:hint="eastAsia" w:ascii="宋体" w:hAnsi="宋体"/>
        </w:rPr>
        <w:t xml:space="preserve">                                            </w:t>
      </w:r>
      <w:r>
        <w:rPr>
          <w:rFonts w:hint="eastAsia" w:ascii="宋体" w:hAnsi="宋体"/>
          <w:lang w:val="en-US" w:eastAsia="zh-CN"/>
        </w:rPr>
        <w:t xml:space="preserve">        </w:t>
      </w:r>
      <w:r>
        <w:rPr>
          <w:rFonts w:hint="eastAsia" w:ascii="宋体" w:hAnsi="宋体"/>
        </w:rPr>
        <w:t xml:space="preserve">      </w:t>
      </w:r>
      <w:r>
        <w:rPr>
          <w:rFonts w:hint="eastAsia" w:ascii="宋体" w:hAnsi="宋体"/>
          <w:lang w:val="en-US" w:eastAsia="zh-CN"/>
        </w:rPr>
        <w:t xml:space="preserve">   </w:t>
      </w:r>
    </w:p>
    <w:p w14:paraId="740A0379"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第十一条  成套设备的安装与调试：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  <w:lang w:val="en-US" w:eastAsia="zh-CN"/>
        </w:rPr>
        <w:t>按技术要求或招标文件执行。</w:t>
      </w:r>
      <w:r>
        <w:rPr>
          <w:rFonts w:hint="eastAsia" w:ascii="宋体" w:hAnsi="宋体"/>
          <w:u w:val="single"/>
        </w:rPr>
        <w:t xml:space="preserve">                                                           </w:t>
      </w:r>
    </w:p>
    <w:p w14:paraId="026ABF46">
      <w:pPr>
        <w:spacing w:line="400" w:lineRule="exact"/>
        <w:ind w:left="945" w:hanging="945" w:hangingChars="450"/>
        <w:rPr>
          <w:rFonts w:ascii="宋体" w:hAnsi="宋体"/>
        </w:rPr>
      </w:pPr>
      <w:r>
        <w:rPr>
          <w:rFonts w:hint="eastAsia" w:ascii="宋体" w:hAnsi="宋体"/>
        </w:rPr>
        <w:t>第十二条  结算方式、时间及地点：</w:t>
      </w:r>
      <w:r>
        <w:rPr>
          <w:rFonts w:hint="eastAsia" w:ascii="宋体" w:hAnsi="宋体"/>
          <w:u w:val="single"/>
        </w:rPr>
        <w:t xml:space="preserve"> 合同签订后无预付款，设备到货验收合格后按合同开具全额发票，一年内支付合同总价的97%，余合同总价的3%做为质保金（质保金的形式：以合同签订为准），设备运行12个月或设备到货后的18个月付清。（质保金不计利息）。支付方式：现汇或承兑汇票。                                                           </w:t>
      </w:r>
    </w:p>
    <w:p w14:paraId="6E0F4AA1">
      <w:pPr>
        <w:spacing w:line="400" w:lineRule="exact"/>
        <w:rPr>
          <w:rFonts w:ascii="宋体" w:hAnsi="宋体"/>
          <w:u w:val="single"/>
        </w:rPr>
      </w:pPr>
      <w:r>
        <w:rPr>
          <w:rFonts w:hint="eastAsia" w:ascii="宋体" w:hAnsi="宋体"/>
        </w:rPr>
        <w:t>第十三条  担保方式（也可另立担保合同）：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  <w:lang w:val="en-US" w:eastAsia="zh-CN"/>
        </w:rPr>
        <w:t>无</w:t>
      </w:r>
      <w:r>
        <w:rPr>
          <w:rFonts w:hint="eastAsia" w:ascii="宋体" w:hAnsi="宋体"/>
          <w:u w:val="single"/>
        </w:rPr>
        <w:t xml:space="preserve">                                                    </w:t>
      </w:r>
    </w:p>
    <w:p w14:paraId="4E7683DA"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第十四条  本合同解除的条件：</w:t>
      </w:r>
      <w:r>
        <w:rPr>
          <w:rFonts w:hint="eastAsia" w:ascii="宋体" w:hAnsi="宋体"/>
          <w:u w:val="single"/>
        </w:rPr>
        <w:t xml:space="preserve"> 依《中华人民共和国民法典》及相关法律法规之规定执行。                                                               </w:t>
      </w:r>
    </w:p>
    <w:p w14:paraId="6F693625"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第十五条  违约责任：</w:t>
      </w:r>
      <w:r>
        <w:rPr>
          <w:rFonts w:hint="eastAsia" w:ascii="宋体" w:hAnsi="宋体"/>
          <w:u w:val="single"/>
        </w:rPr>
        <w:t xml:space="preserve">按《民法典》有关条款执行 。                                              </w:t>
      </w:r>
    </w:p>
    <w:p w14:paraId="6AF2A83D">
      <w:pPr>
        <w:spacing w:line="400" w:lineRule="exact"/>
        <w:ind w:left="1050" w:hanging="1050" w:hangingChars="500"/>
        <w:rPr>
          <w:rFonts w:ascii="宋体" w:hAnsi="宋体"/>
        </w:rPr>
      </w:pPr>
      <w:r>
        <w:rPr>
          <w:rFonts w:hint="eastAsia" w:ascii="宋体" w:hAnsi="宋体"/>
        </w:rPr>
        <w:t>第十六条  合同争议的解决方式：本合同在履行过程中发生的争议，由双方当事人协商解决；也可由当地工商行政管理部门调解；协商或调解不成的，按下列第</w:t>
      </w:r>
      <w:r>
        <w:rPr>
          <w:rFonts w:hint="eastAsia" w:ascii="宋体" w:hAnsi="宋体"/>
          <w:u w:val="single"/>
        </w:rPr>
        <w:t>〈二〉</w:t>
      </w:r>
      <w:r>
        <w:rPr>
          <w:rFonts w:hint="eastAsia" w:ascii="宋体" w:hAnsi="宋体"/>
        </w:rPr>
        <w:t>种方式解决：（一)提交</w:t>
      </w:r>
      <w:r>
        <w:rPr>
          <w:rFonts w:hint="eastAsia"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  <w:lang w:val="en-US" w:eastAsia="zh-CN"/>
        </w:rPr>
        <w:t xml:space="preserve">当地 </w:t>
      </w:r>
      <w:r>
        <w:rPr>
          <w:rFonts w:hint="eastAsia" w:ascii="宋体" w:hAnsi="宋体"/>
        </w:rPr>
        <w:t>仲裁委员会仲裁； (二)依法向石家庄市栾城区人民法院起诉。</w:t>
      </w:r>
    </w:p>
    <w:p w14:paraId="20CBCF27">
      <w:pPr>
        <w:spacing w:line="400" w:lineRule="exact"/>
        <w:rPr>
          <w:rFonts w:ascii="宋体" w:hAnsi="宋体"/>
        </w:rPr>
      </w:pPr>
      <w:r>
        <w:rPr>
          <w:rFonts w:hint="eastAsia" w:ascii="宋体" w:hAnsi="宋体"/>
        </w:rPr>
        <w:t>第十七条  本合同一式</w:t>
      </w:r>
      <w:r>
        <w:rPr>
          <w:rFonts w:hint="eastAsia" w:ascii="宋体" w:hAnsi="宋体"/>
          <w:u w:val="single"/>
        </w:rPr>
        <w:t xml:space="preserve">  </w:t>
      </w:r>
      <w:r>
        <w:rPr>
          <w:rFonts w:hint="eastAsia" w:ascii="宋体" w:hAnsi="宋体"/>
        </w:rPr>
        <w:t>份，出卖人持</w:t>
      </w:r>
      <w:r>
        <w:rPr>
          <w:rFonts w:hint="eastAsia" w:ascii="宋体" w:hAnsi="宋体"/>
          <w:u w:val="single"/>
        </w:rPr>
        <w:t xml:space="preserve">  </w:t>
      </w:r>
      <w:r>
        <w:rPr>
          <w:rFonts w:hint="eastAsia" w:ascii="宋体" w:hAnsi="宋体"/>
        </w:rPr>
        <w:t>份，买受人持</w:t>
      </w:r>
      <w:r>
        <w:rPr>
          <w:rFonts w:hint="eastAsia" w:ascii="宋体" w:hAnsi="宋体"/>
          <w:u w:val="single"/>
        </w:rPr>
        <w:t xml:space="preserve">  </w:t>
      </w:r>
      <w:r>
        <w:rPr>
          <w:rFonts w:hint="eastAsia" w:ascii="宋体" w:hAnsi="宋体"/>
        </w:rPr>
        <w:t>份，自</w:t>
      </w:r>
      <w:r>
        <w:rPr>
          <w:rFonts w:hint="eastAsia" w:ascii="宋体" w:hAnsi="宋体"/>
          <w:u w:val="single"/>
        </w:rPr>
        <w:t>双方法定代表人（负责人）或委托代理人签字并盖章之日</w:t>
      </w:r>
      <w:r>
        <w:rPr>
          <w:rFonts w:hint="eastAsia" w:ascii="宋体" w:hAnsi="宋体"/>
        </w:rPr>
        <w:t>起生效。</w:t>
      </w:r>
    </w:p>
    <w:p w14:paraId="26A5E35A">
      <w:pPr>
        <w:spacing w:line="400" w:lineRule="exact"/>
        <w:ind w:left="2520" w:hanging="2520" w:hangingChars="1200"/>
      </w:pPr>
      <w:r>
        <w:rPr>
          <w:rFonts w:hint="eastAsia" w:ascii="宋体" w:hAnsi="宋体"/>
        </w:rPr>
        <w:t>第十八条  其他约定事项：</w:t>
      </w:r>
      <w:r>
        <w:rPr>
          <w:rFonts w:hint="eastAsia" w:ascii="宋体" w:hAnsi="宋体"/>
          <w:u w:val="single"/>
        </w:rPr>
        <w:t xml:space="preserve">                                                                 </w:t>
      </w:r>
    </w:p>
    <w:tbl>
      <w:tblPr>
        <w:tblStyle w:val="10"/>
        <w:tblW w:w="9176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5036"/>
      </w:tblGrid>
      <w:tr w14:paraId="60CD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16" w:hRule="atLeast"/>
        </w:trPr>
        <w:tc>
          <w:tcPr>
            <w:tcW w:w="4140" w:type="dxa"/>
          </w:tcPr>
          <w:p w14:paraId="3543FED2">
            <w:pPr>
              <w:spacing w:line="400" w:lineRule="exact"/>
              <w:jc w:val="center"/>
              <w:rPr>
                <w:rFonts w:ascii="宋体" w:hAnsi="宋体"/>
                <w:spacing w:val="40"/>
              </w:rPr>
            </w:pPr>
            <w:r>
              <w:rPr>
                <w:rFonts w:hint="eastAsia" w:ascii="宋体" w:hAnsi="宋体"/>
                <w:spacing w:val="40"/>
              </w:rPr>
              <w:t>出卖人</w:t>
            </w:r>
          </w:p>
          <w:p w14:paraId="4F475DCE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出卖人(章)： </w:t>
            </w:r>
          </w:p>
          <w:p w14:paraId="75F77670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住  所：石家庄市栾城区裕翔街167号</w:t>
            </w:r>
          </w:p>
          <w:p w14:paraId="3C248713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法定代表人：{{legalPerson1}}</w:t>
            </w:r>
          </w:p>
          <w:p w14:paraId="0C815AEF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委托代理人：{{entrustedAgent}}</w:t>
            </w:r>
          </w:p>
          <w:p w14:paraId="7E412A34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电  话：{{orgContact}} </w:t>
            </w:r>
          </w:p>
          <w:p w14:paraId="3501932C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传  真： </w:t>
            </w:r>
          </w:p>
          <w:p w14:paraId="04ADFA1E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开户银行：{{orgBank}} </w:t>
            </w:r>
          </w:p>
          <w:p w14:paraId="629ADD5E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帐  号：{{orgBankAccount}} </w:t>
            </w:r>
          </w:p>
          <w:p w14:paraId="37B29179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邮政编码： </w:t>
            </w:r>
          </w:p>
        </w:tc>
        <w:tc>
          <w:tcPr>
            <w:tcW w:w="5036" w:type="dxa"/>
          </w:tcPr>
          <w:p w14:paraId="3CF52189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40"/>
              </w:rPr>
              <w:t>买受人</w:t>
            </w:r>
          </w:p>
          <w:p w14:paraId="4CF962C1">
            <w:pPr>
              <w:spacing w:line="400" w:lineRule="exact"/>
              <w:ind w:left="1470" w:hanging="1470" w:hangingChars="70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买受人(章)： </w:t>
            </w:r>
          </w:p>
          <w:p w14:paraId="59EBF998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住  所： </w:t>
            </w:r>
          </w:p>
          <w:p w14:paraId="6ACCFCB2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法定代表人：{{legalPerson}}</w:t>
            </w:r>
          </w:p>
          <w:p w14:paraId="562B8BA6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委托代理人：</w:t>
            </w:r>
          </w:p>
          <w:p w14:paraId="5333145A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  话： {{contactPhone}}</w:t>
            </w:r>
          </w:p>
          <w:p w14:paraId="62A6384A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传  真：</w:t>
            </w:r>
          </w:p>
          <w:p w14:paraId="32D8AF94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开户银行：{{bankName}} </w:t>
            </w:r>
          </w:p>
          <w:p w14:paraId="62B10956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帐  号：{{bankAccount}} </w:t>
            </w:r>
          </w:p>
          <w:p w14:paraId="23544E0D">
            <w:pPr>
              <w:spacing w:line="4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邮政编码： </w:t>
            </w:r>
          </w:p>
        </w:tc>
      </w:tr>
    </w:tbl>
    <w:p w14:paraId="4AA1DEA0">
      <w:pPr>
        <w:spacing w:line="340" w:lineRule="exact"/>
        <w:textAlignment w:val="center"/>
      </w:pPr>
    </w:p>
    <w:p w14:paraId="3D5C5F73"/>
    <w:sectPr>
      <w:headerReference r:id="rId3" w:type="default"/>
      <w:pgSz w:w="11907" w:h="16840"/>
      <w:pgMar w:top="1440" w:right="1080" w:bottom="1440" w:left="1080" w:header="57" w:footer="5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7B64F">
    <w:pPr>
      <w:pStyle w:val="7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3"/>
      <w:numFmt w:val="japaneseCounting"/>
      <w:lvlText w:val="第%1条"/>
      <w:lvlJc w:val="left"/>
      <w:pPr>
        <w:tabs>
          <w:tab w:val="left" w:pos="855"/>
        </w:tabs>
        <w:ind w:left="855" w:hanging="855"/>
      </w:pPr>
      <w:rPr>
        <w:rFonts w:hint="eastAsia"/>
        <w:u w:val="none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B7"/>
    <w:rsid w:val="00135C61"/>
    <w:rsid w:val="001D7DFA"/>
    <w:rsid w:val="00224100"/>
    <w:rsid w:val="004154B7"/>
    <w:rsid w:val="005428E7"/>
    <w:rsid w:val="005C5D5D"/>
    <w:rsid w:val="0077787F"/>
    <w:rsid w:val="007871D2"/>
    <w:rsid w:val="0089209A"/>
    <w:rsid w:val="009060DE"/>
    <w:rsid w:val="00913569"/>
    <w:rsid w:val="00F929D7"/>
    <w:rsid w:val="013C3CDE"/>
    <w:rsid w:val="04D35CB2"/>
    <w:rsid w:val="0B8A15F5"/>
    <w:rsid w:val="0E653471"/>
    <w:rsid w:val="109218A3"/>
    <w:rsid w:val="109D2FA3"/>
    <w:rsid w:val="12B471BD"/>
    <w:rsid w:val="12C52BC5"/>
    <w:rsid w:val="13E60367"/>
    <w:rsid w:val="15E978F8"/>
    <w:rsid w:val="16403844"/>
    <w:rsid w:val="17E55F00"/>
    <w:rsid w:val="1D1E31EB"/>
    <w:rsid w:val="1E0735D8"/>
    <w:rsid w:val="1E845EC8"/>
    <w:rsid w:val="1EC031B7"/>
    <w:rsid w:val="1FB04EBE"/>
    <w:rsid w:val="20CC3D9B"/>
    <w:rsid w:val="24C75B17"/>
    <w:rsid w:val="24CB1144"/>
    <w:rsid w:val="2806726F"/>
    <w:rsid w:val="287913FB"/>
    <w:rsid w:val="2D1B3C4C"/>
    <w:rsid w:val="30CF2A02"/>
    <w:rsid w:val="31740D9E"/>
    <w:rsid w:val="338A5F0D"/>
    <w:rsid w:val="34DD22E3"/>
    <w:rsid w:val="355B0EFB"/>
    <w:rsid w:val="391F5BB5"/>
    <w:rsid w:val="3A0B739B"/>
    <w:rsid w:val="3A5C7F74"/>
    <w:rsid w:val="3C1446CF"/>
    <w:rsid w:val="3CF54D09"/>
    <w:rsid w:val="3D3743ED"/>
    <w:rsid w:val="3D5D0EEB"/>
    <w:rsid w:val="3EE70E2C"/>
    <w:rsid w:val="43A573BE"/>
    <w:rsid w:val="45085036"/>
    <w:rsid w:val="459F1BDE"/>
    <w:rsid w:val="48141018"/>
    <w:rsid w:val="4C400B24"/>
    <w:rsid w:val="4D6E5984"/>
    <w:rsid w:val="51226C8F"/>
    <w:rsid w:val="5266444C"/>
    <w:rsid w:val="55453DB1"/>
    <w:rsid w:val="58D072D8"/>
    <w:rsid w:val="59961C71"/>
    <w:rsid w:val="5B3306FA"/>
    <w:rsid w:val="5B40365A"/>
    <w:rsid w:val="5CBE6530"/>
    <w:rsid w:val="654B1892"/>
    <w:rsid w:val="68941249"/>
    <w:rsid w:val="69F74494"/>
    <w:rsid w:val="6BDB2F50"/>
    <w:rsid w:val="6F021EA2"/>
    <w:rsid w:val="70D42F0E"/>
    <w:rsid w:val="71377ADA"/>
    <w:rsid w:val="76134AF4"/>
    <w:rsid w:val="7847797F"/>
    <w:rsid w:val="7ACA2125"/>
    <w:rsid w:val="7DD0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ascii="Calibri" w:hAnsi="Calibri"/>
      <w:b/>
      <w:kern w:val="44"/>
      <w:sz w:val="44"/>
      <w:szCs w:val="22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line="413" w:lineRule="auto"/>
      <w:jc w:val="center"/>
      <w:outlineLvl w:val="1"/>
    </w:pPr>
    <w:rPr>
      <w:rFonts w:ascii="Arial" w:hAnsi="Arial"/>
      <w:b/>
      <w:sz w:val="36"/>
      <w:szCs w:val="2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0"/>
      <w:szCs w:val="22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Body Text First Indent 2"/>
    <w:basedOn w:val="5"/>
    <w:qFormat/>
    <w:uiPriority w:val="0"/>
    <w:pPr>
      <w:spacing w:after="120"/>
      <w:ind w:left="200" w:leftChars="200" w:firstLine="200" w:firstLineChars="200"/>
    </w:pPr>
    <w:rPr>
      <w:kern w:val="0"/>
      <w:sz w:val="24"/>
    </w:rPr>
  </w:style>
  <w:style w:type="character" w:customStyle="1" w:styleId="12">
    <w:name w:val="标题 2 Char"/>
    <w:link w:val="3"/>
    <w:qFormat/>
    <w:uiPriority w:val="0"/>
    <w:rPr>
      <w:rFonts w:ascii="Arial" w:hAnsi="Arial" w:eastAsia="宋体" w:cs="Times New Roman"/>
      <w:b/>
      <w:sz w:val="36"/>
      <w:szCs w:val="22"/>
    </w:rPr>
  </w:style>
  <w:style w:type="character" w:customStyle="1" w:styleId="13">
    <w:name w:val="页脚 Char"/>
    <w:basedOn w:val="11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989</Words>
  <Characters>1289</Characters>
  <Lines>14</Lines>
  <Paragraphs>3</Paragraphs>
  <TotalTime>9</TotalTime>
  <ScaleCrop>false</ScaleCrop>
  <LinksUpToDate>false</LinksUpToDate>
  <CharactersWithSpaces>2428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2019-07-28T23:54:00Z</dcterms:created>
  <dc:creator>Administrator</dc:creator>
  <cp:lastModifiedBy>SYT</cp:lastModifiedBy>
  <cp:lastPrinted>2020-05-21T02:28:00Z</cp:lastPrinted>
  <dcterms:modified xsi:type="dcterms:W3CDTF">2026-08-03T01:30:58Z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42AC8C3594334F339A00C9C3164AA6CC_13</vt:lpwstr>
  </property>
  <property fmtid="{D5CDD505-2E9C-101B-9397-08002B2CF9AE}" pid="4" name="KSOTemplateDocerSaveRecord">
    <vt:lpwstr>eyJoZGlkIjoiMTNmNTI2MzNlNTUwZmY1OTY4ZjEzNWNhNTcxYTVmMzUiLCJ1c2VySWQiOiIxMTI5MjgwNDA5In0=</vt:lpwstr>
  </property>
</Properties>
</file>