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A99ED4">
      <w:pPr>
        <w:pStyle w:val="2"/>
        <w:jc w:val="center"/>
        <w:rPr>
          <w:rFonts w:hint="eastAsia"/>
        </w:rPr>
      </w:pPr>
      <w:r>
        <w:rPr>
          <w:rFonts w:hint="eastAsia"/>
        </w:rPr>
        <w:t>工业品买卖合同</w:t>
      </w:r>
    </w:p>
    <w:p w14:paraId="11D23E8B">
      <w:pPr>
        <w:spacing w:line="400" w:lineRule="exact"/>
        <w:rPr>
          <w:rFonts w:hint="eastAsia"/>
          <w:b/>
          <w:bCs/>
          <w:sz w:val="36"/>
          <w:szCs w:val="36"/>
        </w:rPr>
      </w:pPr>
      <w:r>
        <w:rPr>
          <w:rFonts w:hint="eastAsia"/>
          <w:szCs w:val="21"/>
        </w:rPr>
        <w:t>需　方：{{</w:t>
      </w:r>
      <w:r>
        <w:rPr>
          <w:rFonts w:hint="eastAsia"/>
          <w:szCs w:val="21"/>
          <w:lang w:val="en-US" w:eastAsia="zh-CN"/>
        </w:rPr>
        <w:t>partyA</w:t>
      </w:r>
      <w:r>
        <w:rPr>
          <w:rFonts w:hint="eastAsia"/>
          <w:szCs w:val="21"/>
        </w:rPr>
        <w:t>}}                                            合同编号：{{</w:t>
      </w:r>
      <w:r>
        <w:rPr>
          <w:rFonts w:hint="eastAsia"/>
          <w:szCs w:val="21"/>
          <w:lang w:val="en-US" w:eastAsia="zh-CN"/>
        </w:rPr>
        <w:t>contractNo</w:t>
      </w:r>
      <w:r>
        <w:rPr>
          <w:rFonts w:hint="eastAsia"/>
          <w:szCs w:val="21"/>
        </w:rPr>
        <w:t xml:space="preserve">}}                                  </w:t>
      </w:r>
    </w:p>
    <w:p w14:paraId="62477FB7">
      <w:pPr>
        <w:spacing w:line="400" w:lineRule="exact"/>
        <w:rPr>
          <w:rFonts w:hint="eastAsia"/>
          <w:szCs w:val="21"/>
        </w:rPr>
      </w:pPr>
      <w:r>
        <w:rPr>
          <w:rFonts w:hint="eastAsia"/>
          <w:szCs w:val="21"/>
        </w:rPr>
        <w:t xml:space="preserve">                                                             签订地点：{{signPlace}}</w:t>
      </w:r>
    </w:p>
    <w:p w14:paraId="11578A5D">
      <w:pPr>
        <w:spacing w:line="400" w:lineRule="exact"/>
        <w:rPr>
          <w:rFonts w:hint="eastAsia"/>
          <w:szCs w:val="21"/>
        </w:rPr>
      </w:pPr>
      <w:r>
        <w:rPr>
          <w:rFonts w:hint="eastAsia"/>
          <w:szCs w:val="21"/>
        </w:rPr>
        <w:t>供　方：{{</w:t>
      </w:r>
      <w:r>
        <w:rPr>
          <w:rFonts w:hint="eastAsia"/>
          <w:szCs w:val="21"/>
          <w:lang w:val="en-US" w:eastAsia="zh-CN"/>
        </w:rPr>
        <w:t>partyB</w:t>
      </w:r>
      <w:r>
        <w:rPr>
          <w:rFonts w:hint="eastAsia"/>
          <w:szCs w:val="21"/>
        </w:rPr>
        <w:t>}}                                            签订时间：{{signDate}}</w:t>
      </w:r>
    </w:p>
    <w:p w14:paraId="0B9A43C5">
      <w:pPr>
        <w:spacing w:line="400" w:lineRule="exact"/>
        <w:rPr>
          <w:rFonts w:hint="eastAsia"/>
          <w:szCs w:val="21"/>
          <w:u w:val="single"/>
        </w:rPr>
      </w:pPr>
    </w:p>
    <w:p w14:paraId="65DB32D4">
      <w:pPr>
        <w:rPr>
          <w:rFonts w:hint="eastAsia"/>
          <w:szCs w:val="21"/>
        </w:rPr>
      </w:pPr>
      <w:r>
        <w:rPr>
          <w:rFonts w:hint="eastAsia"/>
          <w:szCs w:val="21"/>
        </w:rPr>
        <w:t>第一条：标的、数量、价款及交（提）货时间</w:t>
      </w:r>
    </w:p>
    <w:tbl>
      <w:tblPr>
        <w:tblStyle w:val="5"/>
        <w:tblW w:w="536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2126"/>
        <w:gridCol w:w="1700"/>
        <w:gridCol w:w="993"/>
        <w:gridCol w:w="993"/>
        <w:gridCol w:w="1103"/>
        <w:gridCol w:w="1624"/>
        <w:gridCol w:w="1516"/>
      </w:tblGrid>
      <w:tr w14:paraId="34E0F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  <w:jc w:val="center"/>
        </w:trPr>
        <w:tc>
          <w:tcPr>
            <w:tcW w:w="350" w:type="pct"/>
            <w:vAlign w:val="center"/>
          </w:tcPr>
          <w:p w14:paraId="6DCCCEF1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982" w:type="pct"/>
            <w:vAlign w:val="center"/>
          </w:tcPr>
          <w:p w14:paraId="58434E5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标  的</w:t>
            </w:r>
          </w:p>
          <w:p w14:paraId="14DF80FA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名  称</w:t>
            </w:r>
          </w:p>
        </w:tc>
        <w:tc>
          <w:tcPr>
            <w:tcW w:w="786" w:type="pct"/>
            <w:vAlign w:val="center"/>
          </w:tcPr>
          <w:p w14:paraId="1246F94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规   格</w:t>
            </w:r>
          </w:p>
          <w:p w14:paraId="68B47B69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型   号</w:t>
            </w:r>
          </w:p>
        </w:tc>
        <w:tc>
          <w:tcPr>
            <w:tcW w:w="459" w:type="pct"/>
            <w:vAlign w:val="center"/>
          </w:tcPr>
          <w:p w14:paraId="776048B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单位</w:t>
            </w:r>
          </w:p>
        </w:tc>
        <w:tc>
          <w:tcPr>
            <w:tcW w:w="459" w:type="pct"/>
            <w:vAlign w:val="center"/>
          </w:tcPr>
          <w:p w14:paraId="01E09CD7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数量</w:t>
            </w:r>
          </w:p>
        </w:tc>
        <w:tc>
          <w:tcPr>
            <w:tcW w:w="509" w:type="pct"/>
            <w:vAlign w:val="center"/>
          </w:tcPr>
          <w:p w14:paraId="048F96A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单价</w:t>
            </w:r>
          </w:p>
          <w:p w14:paraId="4991C69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（元）</w:t>
            </w:r>
          </w:p>
        </w:tc>
        <w:tc>
          <w:tcPr>
            <w:tcW w:w="750" w:type="pct"/>
            <w:vAlign w:val="center"/>
          </w:tcPr>
          <w:p w14:paraId="065C9E9F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金  额</w:t>
            </w:r>
          </w:p>
          <w:p w14:paraId="0A58D13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（元）</w:t>
            </w:r>
          </w:p>
        </w:tc>
        <w:tc>
          <w:tcPr>
            <w:tcW w:w="700" w:type="pct"/>
            <w:vAlign w:val="center"/>
          </w:tcPr>
          <w:p w14:paraId="61C50C7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交 货 期</w:t>
            </w:r>
          </w:p>
        </w:tc>
      </w:tr>
      <w:tr w14:paraId="6323C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exact"/>
          <w:jc w:val="center"/>
        </w:trPr>
        <w:tc>
          <w:tcPr>
            <w:tcW w:w="350" w:type="pct"/>
            <w:tcBorders>
              <w:bottom w:val="nil"/>
            </w:tcBorders>
            <w:vAlign w:val="center"/>
          </w:tcPr>
          <w:p w14:paraId="7991600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82" w:type="pct"/>
            <w:tcBorders>
              <w:bottom w:val="nil"/>
            </w:tcBorders>
            <w:vAlign w:val="center"/>
          </w:tcPr>
          <w:p w14:paraId="118208F6">
            <w:pPr>
              <w:jc w:val="both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{{items}}</w:t>
            </w:r>
          </w:p>
        </w:tc>
        <w:tc>
          <w:tcPr>
            <w:tcW w:w="786" w:type="pct"/>
            <w:tcBorders>
              <w:bottom w:val="nil"/>
            </w:tcBorders>
            <w:vAlign w:val="center"/>
          </w:tcPr>
          <w:p w14:paraId="0129A0B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59" w:type="pct"/>
            <w:tcBorders>
              <w:bottom w:val="nil"/>
            </w:tcBorders>
            <w:vAlign w:val="center"/>
          </w:tcPr>
          <w:p w14:paraId="0D4C8F3C">
            <w:pPr>
              <w:ind w:firstLine="120" w:firstLineChars="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59" w:type="pct"/>
            <w:tcBorders>
              <w:bottom w:val="nil"/>
            </w:tcBorders>
            <w:vAlign w:val="center"/>
          </w:tcPr>
          <w:p w14:paraId="01DFA658">
            <w:pPr>
              <w:ind w:right="9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09" w:type="pct"/>
            <w:tcBorders>
              <w:bottom w:val="nil"/>
            </w:tcBorders>
            <w:vAlign w:val="center"/>
          </w:tcPr>
          <w:p w14:paraId="287750F8">
            <w:pPr>
              <w:ind w:left="-105" w:leftChars="-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50" w:type="pct"/>
            <w:tcBorders>
              <w:bottom w:val="nil"/>
            </w:tcBorders>
            <w:vAlign w:val="center"/>
          </w:tcPr>
          <w:p w14:paraId="0922A9C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00" w:type="pct"/>
            <w:tcBorders>
              <w:bottom w:val="nil"/>
            </w:tcBorders>
            <w:vAlign w:val="center"/>
          </w:tcPr>
          <w:p w14:paraId="5669A387">
            <w:pPr>
              <w:tabs>
                <w:tab w:val="left" w:pos="-118"/>
              </w:tabs>
              <w:ind w:left="-118" w:leftChars="-56" w:right="-55" w:rightChars="-26" w:firstLine="30" w:firstLineChars="17"/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</w:p>
        </w:tc>
      </w:tr>
      <w:tr w14:paraId="6CDF2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350" w:type="pct"/>
            <w:tcBorders>
              <w:top w:val="nil"/>
            </w:tcBorders>
            <w:vAlign w:val="center"/>
          </w:tcPr>
          <w:p w14:paraId="6B83DA2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[no]</w:t>
            </w:r>
          </w:p>
        </w:tc>
        <w:tc>
          <w:tcPr>
            <w:tcW w:w="982" w:type="pct"/>
            <w:tcBorders>
              <w:top w:val="nil"/>
            </w:tcBorders>
            <w:vAlign w:val="center"/>
          </w:tcPr>
          <w:p w14:paraId="7229F3B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[materialName]</w:t>
            </w:r>
          </w:p>
        </w:tc>
        <w:tc>
          <w:tcPr>
            <w:tcW w:w="786" w:type="pct"/>
            <w:tcBorders>
              <w:top w:val="nil"/>
            </w:tcBorders>
            <w:vAlign w:val="center"/>
          </w:tcPr>
          <w:p w14:paraId="02B7FC9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[guige]</w:t>
            </w:r>
          </w:p>
        </w:tc>
        <w:tc>
          <w:tcPr>
            <w:tcW w:w="459" w:type="pct"/>
            <w:tcBorders>
              <w:top w:val="nil"/>
            </w:tcBorders>
            <w:vAlign w:val="center"/>
          </w:tcPr>
          <w:p w14:paraId="314CC07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[unit]</w:t>
            </w:r>
          </w:p>
        </w:tc>
        <w:tc>
          <w:tcPr>
            <w:tcW w:w="459" w:type="pct"/>
            <w:tcBorders>
              <w:top w:val="nil"/>
            </w:tcBorders>
            <w:vAlign w:val="center"/>
          </w:tcPr>
          <w:p w14:paraId="7D94DB2E">
            <w:pPr>
              <w:ind w:right="9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[quantity]</w:t>
            </w:r>
          </w:p>
        </w:tc>
        <w:tc>
          <w:tcPr>
            <w:tcW w:w="509" w:type="pct"/>
            <w:tcBorders>
              <w:top w:val="nil"/>
            </w:tcBorders>
            <w:vAlign w:val="center"/>
          </w:tcPr>
          <w:p w14:paraId="6EF9DA6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[unitPrice]</w:t>
            </w:r>
          </w:p>
        </w:tc>
        <w:tc>
          <w:tcPr>
            <w:tcW w:w="750" w:type="pct"/>
            <w:tcBorders>
              <w:top w:val="nil"/>
            </w:tcBorders>
            <w:vAlign w:val="center"/>
          </w:tcPr>
          <w:p w14:paraId="6A54F168">
            <w:pPr>
              <w:ind w:right="630" w:firstLine="120" w:firstLineChars="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[price]</w:t>
            </w:r>
          </w:p>
        </w:tc>
        <w:tc>
          <w:tcPr>
            <w:tcW w:w="700" w:type="pct"/>
            <w:tcBorders>
              <w:top w:val="nil"/>
            </w:tcBorders>
          </w:tcPr>
          <w:p w14:paraId="76D5B12F">
            <w:pPr>
              <w:ind w:right="420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[deliveryCycle]</w:t>
            </w:r>
          </w:p>
        </w:tc>
      </w:tr>
      <w:tr w14:paraId="2FFA8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33" w:type="pct"/>
            <w:gridSpan w:val="2"/>
            <w:vAlign w:val="center"/>
          </w:tcPr>
          <w:p w14:paraId="7769B08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   计</w:t>
            </w:r>
          </w:p>
        </w:tc>
        <w:tc>
          <w:tcPr>
            <w:tcW w:w="786" w:type="pct"/>
            <w:vAlign w:val="center"/>
          </w:tcPr>
          <w:p w14:paraId="0C7FF0C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9" w:type="pct"/>
            <w:vAlign w:val="center"/>
          </w:tcPr>
          <w:p w14:paraId="67F0C29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9" w:type="pct"/>
            <w:vAlign w:val="center"/>
          </w:tcPr>
          <w:p w14:paraId="4F750994">
            <w:pPr>
              <w:ind w:right="9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09" w:type="pct"/>
            <w:vAlign w:val="center"/>
          </w:tcPr>
          <w:p w14:paraId="3C75A4E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50" w:type="pct"/>
            <w:vAlign w:val="center"/>
          </w:tcPr>
          <w:p w14:paraId="746123B6">
            <w:pPr>
              <w:ind w:right="21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{{total}}</w:t>
            </w:r>
          </w:p>
        </w:tc>
        <w:tc>
          <w:tcPr>
            <w:tcW w:w="700" w:type="pct"/>
          </w:tcPr>
          <w:p w14:paraId="44A6695F">
            <w:pPr>
              <w:ind w:right="420"/>
              <w:rPr>
                <w:rFonts w:hint="eastAsia"/>
                <w:szCs w:val="21"/>
              </w:rPr>
            </w:pPr>
          </w:p>
        </w:tc>
      </w:tr>
      <w:tr w14:paraId="6ABA1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5000" w:type="pct"/>
            <w:gridSpan w:val="8"/>
            <w:tcBorders>
              <w:bottom w:val="single" w:color="auto" w:sz="4" w:space="0"/>
            </w:tcBorders>
          </w:tcPr>
          <w:p w14:paraId="16156047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合计人民币金额：{{amountWords}}（含13%增值税）</w:t>
            </w:r>
          </w:p>
        </w:tc>
      </w:tr>
    </w:tbl>
    <w:p w14:paraId="312C1824">
      <w:pPr>
        <w:spacing w:line="400" w:lineRule="exact"/>
        <w:rPr>
          <w:rFonts w:hint="eastAsia"/>
          <w:color w:val="FF0000"/>
          <w:sz w:val="18"/>
        </w:rPr>
      </w:pPr>
      <w:r>
        <w:rPr>
          <w:rFonts w:hint="eastAsia"/>
          <w:color w:val="FF0000"/>
          <w:szCs w:val="21"/>
        </w:rPr>
        <w:t>第二条：质量标准：</w:t>
      </w:r>
      <w:r>
        <w:rPr>
          <w:rFonts w:hint="eastAsia" w:ascii="宋体" w:hAnsi="宋体"/>
          <w:color w:val="FF0000"/>
          <w:szCs w:val="21"/>
        </w:rPr>
        <w:t>执行GB2597.4。</w:t>
      </w:r>
    </w:p>
    <w:p w14:paraId="64CDA184">
      <w:pPr>
        <w:tabs>
          <w:tab w:val="left" w:pos="8640"/>
          <w:tab w:val="left" w:pos="9000"/>
        </w:tabs>
        <w:spacing w:line="400" w:lineRule="exact"/>
        <w:ind w:left="-178" w:leftChars="-85" w:firstLine="178" w:firstLineChars="85"/>
        <w:rPr>
          <w:rFonts w:hint="eastAsia"/>
          <w:szCs w:val="21"/>
          <w:u w:val="single"/>
        </w:rPr>
      </w:pPr>
      <w:r>
        <w:rPr>
          <w:rFonts w:hint="eastAsia"/>
          <w:szCs w:val="21"/>
        </w:rPr>
        <w:t>第三条：供方对质量负责的条件及期限：</w:t>
      </w:r>
      <w:r>
        <w:rPr>
          <w:rFonts w:hint="eastAsia"/>
          <w:szCs w:val="21"/>
          <w:lang w:val="en-US" w:eastAsia="zh-CN"/>
        </w:rPr>
        <w:t>符合产品质量的强制性国家标准、行业标准。</w:t>
      </w:r>
      <w:r>
        <w:rPr>
          <w:rFonts w:hint="eastAsia"/>
          <w:szCs w:val="21"/>
        </w:rPr>
        <w:t xml:space="preserve"> </w:t>
      </w:r>
    </w:p>
    <w:p w14:paraId="6C46A8CB">
      <w:pPr>
        <w:spacing w:line="400" w:lineRule="exact"/>
        <w:rPr>
          <w:rFonts w:hint="eastAsia"/>
          <w:szCs w:val="21"/>
        </w:rPr>
      </w:pPr>
      <w:r>
        <w:rPr>
          <w:rFonts w:hint="eastAsia"/>
          <w:szCs w:val="21"/>
        </w:rPr>
        <w:t>第四条：包装标准、包装物的供应与回收：简易包装，不回收。</w:t>
      </w:r>
    </w:p>
    <w:p w14:paraId="5B556F45">
      <w:pPr>
        <w:spacing w:line="400" w:lineRule="exact"/>
        <w:rPr>
          <w:rFonts w:hint="eastAsia"/>
          <w:szCs w:val="21"/>
        </w:rPr>
      </w:pPr>
      <w:r>
        <w:rPr>
          <w:rFonts w:hint="eastAsia"/>
          <w:szCs w:val="21"/>
        </w:rPr>
        <w:t>第五条：合理损耗标准及计算方：无</w:t>
      </w:r>
    </w:p>
    <w:p w14:paraId="3F1B1EFE">
      <w:pPr>
        <w:spacing w:line="400" w:lineRule="exact"/>
        <w:rPr>
          <w:rFonts w:hint="eastAsia"/>
          <w:szCs w:val="21"/>
        </w:rPr>
      </w:pPr>
      <w:r>
        <w:rPr>
          <w:rFonts w:hint="eastAsia"/>
          <w:szCs w:val="21"/>
        </w:rPr>
        <w:t>第六条：交（提）货方式、地点：按需方指定地点交货。</w:t>
      </w:r>
    </w:p>
    <w:p w14:paraId="32F3B536">
      <w:pPr>
        <w:spacing w:line="400" w:lineRule="exact"/>
        <w:rPr>
          <w:rFonts w:hint="eastAsia"/>
          <w:szCs w:val="21"/>
        </w:rPr>
      </w:pPr>
      <w:r>
        <w:rPr>
          <w:rFonts w:hint="eastAsia"/>
          <w:szCs w:val="21"/>
        </w:rPr>
        <w:t>第七条：运输方式及到达站（港）和费用负担：汽运，运费由供方负担。</w:t>
      </w:r>
    </w:p>
    <w:p w14:paraId="16D0C031">
      <w:pPr>
        <w:spacing w:line="400" w:lineRule="exact"/>
        <w:rPr>
          <w:rFonts w:hint="eastAsia" w:eastAsia="宋体"/>
          <w:color w:val="FF0000"/>
          <w:szCs w:val="21"/>
          <w:u w:val="single"/>
          <w:lang w:eastAsia="zh-CN"/>
        </w:rPr>
      </w:pPr>
      <w:r>
        <w:rPr>
          <w:rFonts w:hint="eastAsia"/>
          <w:szCs w:val="21"/>
        </w:rPr>
        <w:t>第八条：验收标准、方法、地点及期限：按照招标、比价或技术协议执行，未注明验收标准的按照国标或行业标准执行，同时有多个标准的按高标准执行。异议期自到货后30日内提出（材料性物资送货前一天通知甲方，设备出厂前20天通知甲方组织验收）</w:t>
      </w:r>
      <w:r>
        <w:rPr>
          <w:rFonts w:hint="eastAsia"/>
          <w:szCs w:val="21"/>
          <w:lang w:eastAsia="zh-CN"/>
        </w:rPr>
        <w:t>。</w:t>
      </w:r>
    </w:p>
    <w:p w14:paraId="5D3506D0">
      <w:pPr>
        <w:spacing w:line="400" w:lineRule="exact"/>
        <w:rPr>
          <w:rFonts w:hint="eastAsia"/>
          <w:szCs w:val="21"/>
        </w:rPr>
      </w:pPr>
      <w:r>
        <w:rPr>
          <w:rFonts w:hint="eastAsia"/>
          <w:szCs w:val="21"/>
        </w:rPr>
        <w:t>第九条：结算方式、付款方式、时间： 合同签订后无预付款，设备到货验</w:t>
      </w:r>
      <w:bookmarkStart w:id="0" w:name="_GoBack"/>
      <w:bookmarkEnd w:id="0"/>
      <w:r>
        <w:rPr>
          <w:rFonts w:hint="eastAsia"/>
          <w:szCs w:val="21"/>
        </w:rPr>
        <w:t>收合格后按合同开具全额发票，一年内支付合同总价的97%，余合同总价的3%做为质保金（质保金的形式：以合同签订为准），设备运行12个月或设备到货后的18个月付清。（质保金不计利息）。支付方式：现汇或承兑汇票。</w:t>
      </w:r>
    </w:p>
    <w:p w14:paraId="5BFA0A68">
      <w:pPr>
        <w:spacing w:line="400" w:lineRule="exact"/>
        <w:rPr>
          <w:rFonts w:hint="eastAsia"/>
          <w:szCs w:val="21"/>
        </w:rPr>
      </w:pPr>
      <w:r>
        <w:rPr>
          <w:rFonts w:hint="eastAsia"/>
          <w:szCs w:val="21"/>
        </w:rPr>
        <w:t>第十条：本合同解除的条件：依《中华人民共和国民法典》及相关法律法规之规定执行。</w:t>
      </w:r>
    </w:p>
    <w:p w14:paraId="7421E72E">
      <w:pPr>
        <w:spacing w:line="400" w:lineRule="exact"/>
        <w:rPr>
          <w:rFonts w:hint="eastAsia"/>
          <w:spacing w:val="-2"/>
          <w:szCs w:val="21"/>
        </w:rPr>
      </w:pPr>
      <w:r>
        <w:rPr>
          <w:rFonts w:hint="eastAsia"/>
          <w:szCs w:val="21"/>
        </w:rPr>
        <w:t>第十一条：</w:t>
      </w:r>
      <w:r>
        <w:rPr>
          <w:rFonts w:hint="eastAsia"/>
          <w:spacing w:val="-2"/>
          <w:szCs w:val="21"/>
        </w:rPr>
        <w:t>违约责任</w:t>
      </w:r>
      <w:r>
        <w:rPr>
          <w:rFonts w:hint="eastAsia"/>
          <w:spacing w:val="-2"/>
          <w:sz w:val="15"/>
          <w:szCs w:val="15"/>
        </w:rPr>
        <w:t>：</w:t>
      </w:r>
      <w:r>
        <w:rPr>
          <w:rFonts w:hint="eastAsia"/>
          <w:spacing w:val="-2"/>
          <w:szCs w:val="21"/>
        </w:rPr>
        <w:t>双方协商解决。</w:t>
      </w:r>
    </w:p>
    <w:p w14:paraId="6791DE1B">
      <w:pPr>
        <w:spacing w:line="400" w:lineRule="exact"/>
        <w:rPr>
          <w:rFonts w:hint="eastAsia"/>
          <w:szCs w:val="21"/>
        </w:rPr>
      </w:pPr>
      <w:r>
        <w:rPr>
          <w:rFonts w:hint="eastAsia"/>
          <w:szCs w:val="21"/>
        </w:rPr>
        <w:t>第十二条：合同争议的解决方式：</w:t>
      </w:r>
      <w:r>
        <w:rPr>
          <w:rFonts w:hint="eastAsia"/>
          <w:spacing w:val="-2"/>
          <w:szCs w:val="21"/>
        </w:rPr>
        <w:t>交当地仲裁委员会。</w:t>
      </w:r>
    </w:p>
    <w:p w14:paraId="7C285CBD">
      <w:pPr>
        <w:spacing w:line="400" w:lineRule="exact"/>
        <w:rPr>
          <w:rFonts w:hint="eastAsia"/>
          <w:szCs w:val="21"/>
          <w:u w:val="single"/>
        </w:rPr>
      </w:pPr>
      <w:r>
        <w:rPr>
          <w:rFonts w:hint="eastAsia"/>
          <w:szCs w:val="21"/>
        </w:rPr>
        <w:t>第十三条：本合同一式两份自双方签字盖章之日起生效。</w:t>
      </w:r>
    </w:p>
    <w:p w14:paraId="3A224440">
      <w:pPr>
        <w:spacing w:line="400" w:lineRule="exact"/>
        <w:rPr>
          <w:rFonts w:hint="eastAsia"/>
          <w:szCs w:val="21"/>
          <w:u w:val="single"/>
        </w:rPr>
      </w:pPr>
      <w:r>
        <w:rPr>
          <w:rFonts w:hint="eastAsia"/>
          <w:szCs w:val="21"/>
        </w:rPr>
        <w:t xml:space="preserve">第十四条：其他约定事项：              </w:t>
      </w:r>
    </w:p>
    <w:tbl>
      <w:tblPr>
        <w:tblStyle w:val="5"/>
        <w:tblW w:w="105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6"/>
        <w:gridCol w:w="5179"/>
      </w:tblGrid>
      <w:tr w14:paraId="22CB2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2" w:hRule="atLeast"/>
          <w:jc w:val="center"/>
        </w:trPr>
        <w:tc>
          <w:tcPr>
            <w:tcW w:w="5396" w:type="dxa"/>
          </w:tcPr>
          <w:p w14:paraId="0ADE1A2D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pacing w:val="-6"/>
                <w:szCs w:val="21"/>
              </w:rPr>
              <w:t>需方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  <w:lang w:val="en-US" w:eastAsia="zh-CN"/>
              </w:rPr>
              <w:t>{{companyName}}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5C7DBAE9">
            <w:pPr>
              <w:spacing w:line="360" w:lineRule="exact"/>
              <w:ind w:left="105" w:hanging="105" w:hangingChars="5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住所：</w:t>
            </w:r>
          </w:p>
          <w:p w14:paraId="5DEFD7D1">
            <w:pPr>
              <w:spacing w:line="360" w:lineRule="exact"/>
              <w:ind w:left="105" w:hanging="105" w:hangingChars="5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法定代表人：</w:t>
            </w:r>
            <w:r>
              <w:rPr>
                <w:rFonts w:hint="eastAsia"/>
                <w:szCs w:val="21"/>
                <w:lang w:val="en-US" w:eastAsia="zh-CN"/>
              </w:rPr>
              <w:t>{{legalPerson}}</w:t>
            </w:r>
          </w:p>
          <w:p w14:paraId="196F4D69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委托代理人：</w:t>
            </w:r>
          </w:p>
          <w:p w14:paraId="136B45E2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电话：</w:t>
            </w:r>
            <w:r>
              <w:rPr>
                <w:rFonts w:hint="eastAsia"/>
                <w:szCs w:val="21"/>
                <w:lang w:val="en-US" w:eastAsia="zh-CN"/>
              </w:rPr>
              <w:t>{{contactPhone}}</w:t>
            </w:r>
          </w:p>
          <w:p w14:paraId="768D732D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税号：</w:t>
            </w:r>
          </w:p>
          <w:p w14:paraId="3DCBF533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开户银行：</w:t>
            </w:r>
            <w:r>
              <w:rPr>
                <w:rFonts w:hint="eastAsia"/>
                <w:szCs w:val="21"/>
                <w:lang w:val="en-US" w:eastAsia="zh-CN"/>
              </w:rPr>
              <w:t>{{bankName}}</w:t>
            </w:r>
          </w:p>
          <w:p w14:paraId="47AD814F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账号：</w:t>
            </w:r>
            <w:r>
              <w:rPr>
                <w:rFonts w:hint="eastAsia"/>
                <w:szCs w:val="21"/>
                <w:lang w:val="en-US" w:eastAsia="zh-CN"/>
              </w:rPr>
              <w:t>{{bankAccount}}</w:t>
            </w:r>
          </w:p>
          <w:p w14:paraId="00F94E13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邮政编码：</w:t>
            </w:r>
          </w:p>
        </w:tc>
        <w:tc>
          <w:tcPr>
            <w:tcW w:w="5179" w:type="dxa"/>
          </w:tcPr>
          <w:p w14:paraId="228D1944">
            <w:pPr>
              <w:spacing w:line="360" w:lineRule="exact"/>
              <w:rPr>
                <w:rFonts w:hint="eastAsia"/>
                <w:spacing w:val="-6"/>
                <w:szCs w:val="21"/>
              </w:rPr>
            </w:pPr>
            <w:r>
              <w:rPr>
                <w:rFonts w:hint="eastAsia"/>
                <w:spacing w:val="-6"/>
                <w:szCs w:val="21"/>
              </w:rPr>
              <w:t>供方：</w:t>
            </w:r>
            <w:r>
              <w:rPr>
                <w:rFonts w:hint="eastAsia"/>
                <w:spacing w:val="-6"/>
                <w:szCs w:val="21"/>
                <w:lang w:val="en-US" w:eastAsia="zh-CN"/>
              </w:rPr>
              <w:t>{{orgName}}</w:t>
            </w:r>
          </w:p>
          <w:p w14:paraId="249221A3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住所：</w:t>
            </w:r>
          </w:p>
          <w:p w14:paraId="0D76BA65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法定代表人：</w:t>
            </w:r>
            <w:r>
              <w:rPr>
                <w:rFonts w:hint="eastAsia"/>
                <w:szCs w:val="21"/>
                <w:lang w:val="en-US" w:eastAsia="zh-CN"/>
              </w:rPr>
              <w:t>{{legalPerson1}}</w:t>
            </w:r>
          </w:p>
          <w:p w14:paraId="4473CB17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委托代理人：</w:t>
            </w:r>
            <w:r>
              <w:rPr>
                <w:rFonts w:hint="eastAsia"/>
                <w:szCs w:val="21"/>
                <w:lang w:val="en-US" w:eastAsia="zh-CN"/>
              </w:rPr>
              <w:t>{{entrustedAgent}}</w:t>
            </w:r>
          </w:p>
          <w:p w14:paraId="1821E05C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电话：</w:t>
            </w:r>
            <w:r>
              <w:rPr>
                <w:rFonts w:hint="eastAsia"/>
                <w:szCs w:val="21"/>
                <w:lang w:val="en-US" w:eastAsia="zh-CN"/>
              </w:rPr>
              <w:t>{{orgContact}}</w:t>
            </w:r>
          </w:p>
          <w:p w14:paraId="6B62285F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税号：</w:t>
            </w:r>
          </w:p>
          <w:p w14:paraId="27913328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开户银行：</w:t>
            </w:r>
            <w:r>
              <w:rPr>
                <w:rFonts w:hint="eastAsia"/>
                <w:szCs w:val="21"/>
                <w:lang w:val="en-US" w:eastAsia="zh-CN"/>
              </w:rPr>
              <w:t>{{orgBank}}</w:t>
            </w:r>
          </w:p>
          <w:p w14:paraId="7FBCCD2B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账号：</w:t>
            </w:r>
            <w:r>
              <w:rPr>
                <w:rFonts w:hint="eastAsia"/>
                <w:szCs w:val="21"/>
                <w:lang w:val="en-US" w:eastAsia="zh-CN"/>
              </w:rPr>
              <w:t>{{orgBankAccount}}</w:t>
            </w:r>
          </w:p>
          <w:p w14:paraId="2ABC20A5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邮政编码：</w:t>
            </w:r>
          </w:p>
        </w:tc>
      </w:tr>
    </w:tbl>
    <w:p w14:paraId="08F5746A"/>
    <w:p w14:paraId="79C5DF09"/>
    <w:sectPr>
      <w:pgSz w:w="11906" w:h="16838"/>
      <w:pgMar w:top="851" w:right="1021" w:bottom="737" w:left="102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vAlign w:val="center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2B7A43"/>
    <w:rsid w:val="002B7A43"/>
    <w:rsid w:val="006F5547"/>
    <w:rsid w:val="0891497F"/>
    <w:rsid w:val="0DA571B7"/>
    <w:rsid w:val="2A0143FB"/>
    <w:rsid w:val="44856A63"/>
    <w:rsid w:val="621E6C26"/>
    <w:rsid w:val="6229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8"/>
    <w:uiPriority w:val="0"/>
    <w:rPr>
      <w:sz w:val="18"/>
    </w:rPr>
  </w:style>
  <w:style w:type="paragraph" w:styleId="4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7">
    <w:name w:val="标题 1 Char"/>
    <w:basedOn w:val="6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8">
    <w:name w:val="正文文本 Char"/>
    <w:basedOn w:val="6"/>
    <w:link w:val="3"/>
    <w:qFormat/>
    <w:uiPriority w:val="0"/>
    <w:rPr>
      <w:rFonts w:ascii="Times New Roman" w:hAnsi="Times New Roman" w:eastAsia="宋体" w:cs="Times New Roman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451</Words>
  <Characters>760</Characters>
  <Lines>5</Lines>
  <Paragraphs>1</Paragraphs>
  <TotalTime>4</TotalTime>
  <ScaleCrop>false</ScaleCrop>
  <LinksUpToDate>false</LinksUpToDate>
  <CharactersWithSpaces>980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2026-05-14T06:16:00Z</dcterms:created>
  <dc:creator>Administrator</dc:creator>
  <cp:lastModifiedBy>SYT</cp:lastModifiedBy>
  <dcterms:modified xsi:type="dcterms:W3CDTF">2026-08-03T00:53:48Z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eyJoZGlkIjoiMTNmNTI2MzNlNTUwZmY1OTY4ZjEzNWNhNTcxYTVmMzUiLCJ1c2VySWQiOiIxMTI5MjgwNDA5In0=</vt:lpwstr>
  </property>
  <property fmtid="{D5CDD505-2E9C-101B-9397-08002B2CF9AE}" pid="3" name="KSOProductBuildVer">
    <vt:lpwstr>2052-12.1.0.26895</vt:lpwstr>
  </property>
  <property fmtid="{D5CDD505-2E9C-101B-9397-08002B2CF9AE}" pid="4" name="ICV">
    <vt:lpwstr>26163195F9CB4002995FF5090D6B11D5_12</vt:lpwstr>
  </property>
</Properties>
</file>